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E3" w:rsidRPr="007830AB" w:rsidRDefault="00D62EE3" w:rsidP="00D62EE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D62EE3" w:rsidRPr="007830AB" w:rsidRDefault="00D62EE3" w:rsidP="00D62EE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62EE3" w:rsidRPr="007830AB" w:rsidRDefault="00D62EE3" w:rsidP="00D62EE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Усть-Абаканского муниципального</w:t>
      </w:r>
    </w:p>
    <w:p w:rsidR="00D62EE3" w:rsidRPr="007830AB" w:rsidRDefault="00D62EE3" w:rsidP="00D62EE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района Республики Хакасия</w:t>
      </w:r>
    </w:p>
    <w:p w:rsidR="00D62EE3" w:rsidRPr="007830AB" w:rsidRDefault="008F6C41" w:rsidP="00D62EE3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от 30.12.2025     № 1284 - п</w:t>
      </w:r>
    </w:p>
    <w:p w:rsidR="00F15D4B" w:rsidRPr="007830AB" w:rsidRDefault="00F15D4B" w:rsidP="00E61AC8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6"/>
          <w:szCs w:val="26"/>
        </w:rPr>
      </w:pPr>
    </w:p>
    <w:p w:rsidR="00D62EE3" w:rsidRPr="007830AB" w:rsidRDefault="00D62EE3" w:rsidP="00D62EE3">
      <w:pPr>
        <w:widowControl w:val="0"/>
        <w:autoSpaceDE w:val="0"/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6"/>
          <w:szCs w:val="26"/>
        </w:rPr>
      </w:pPr>
    </w:p>
    <w:p w:rsidR="009B1FA2" w:rsidRPr="007830AB" w:rsidRDefault="00D62EE3" w:rsidP="00D62EE3">
      <w:pPr>
        <w:widowControl w:val="0"/>
        <w:autoSpaceDE w:val="0"/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>«</w:t>
      </w:r>
      <w:r w:rsidR="009B1FA2" w:rsidRPr="007830AB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  <w:r w:rsidR="00E61AC8" w:rsidRPr="007830AB">
        <w:rPr>
          <w:rFonts w:ascii="Times New Roman" w:eastAsia="Times New Roman" w:hAnsi="Times New Roman" w:cs="Times New Roman"/>
          <w:sz w:val="26"/>
          <w:szCs w:val="26"/>
        </w:rPr>
        <w:t>1</w:t>
      </w:r>
    </w:p>
    <w:p w:rsidR="00E61AC8" w:rsidRPr="007830AB" w:rsidRDefault="00E61AC8" w:rsidP="00D62EE3">
      <w:pPr>
        <w:widowControl w:val="0"/>
        <w:autoSpaceDE w:val="0"/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6"/>
          <w:szCs w:val="26"/>
        </w:rPr>
      </w:pPr>
    </w:p>
    <w:p w:rsidR="00E61AC8" w:rsidRPr="007830AB" w:rsidRDefault="00E61AC8" w:rsidP="00D62EE3">
      <w:pPr>
        <w:widowControl w:val="0"/>
        <w:autoSpaceDE w:val="0"/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>Утверждена</w:t>
      </w:r>
    </w:p>
    <w:p w:rsidR="009B1FA2" w:rsidRPr="007830AB" w:rsidRDefault="00E61AC8" w:rsidP="00D62EE3">
      <w:pPr>
        <w:widowControl w:val="0"/>
        <w:autoSpaceDE w:val="0"/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>п</w:t>
      </w:r>
      <w:r w:rsidR="009B1FA2" w:rsidRPr="007830AB">
        <w:rPr>
          <w:rFonts w:ascii="Times New Roman" w:eastAsia="Times New Roman" w:hAnsi="Times New Roman" w:cs="Times New Roman"/>
          <w:sz w:val="26"/>
          <w:szCs w:val="26"/>
        </w:rPr>
        <w:t>остановлени</w:t>
      </w:r>
      <w:r w:rsidRPr="007830AB">
        <w:rPr>
          <w:rFonts w:ascii="Times New Roman" w:eastAsia="Times New Roman" w:hAnsi="Times New Roman" w:cs="Times New Roman"/>
          <w:sz w:val="26"/>
          <w:szCs w:val="26"/>
        </w:rPr>
        <w:t>е</w:t>
      </w:r>
      <w:r w:rsidR="002209BD" w:rsidRPr="007830AB">
        <w:rPr>
          <w:rFonts w:ascii="Times New Roman" w:eastAsia="Times New Roman" w:hAnsi="Times New Roman" w:cs="Times New Roman"/>
          <w:sz w:val="26"/>
          <w:szCs w:val="26"/>
        </w:rPr>
        <w:t xml:space="preserve">м  </w:t>
      </w:r>
      <w:r w:rsidRPr="007830AB">
        <w:rPr>
          <w:rFonts w:ascii="Times New Roman" w:eastAsia="Times New Roman" w:hAnsi="Times New Roman" w:cs="Times New Roman"/>
          <w:sz w:val="26"/>
          <w:szCs w:val="26"/>
        </w:rPr>
        <w:t>а</w:t>
      </w:r>
      <w:r w:rsidR="009B1FA2" w:rsidRPr="007830AB">
        <w:rPr>
          <w:rFonts w:ascii="Times New Roman" w:eastAsia="Times New Roman" w:hAnsi="Times New Roman" w:cs="Times New Roman"/>
          <w:sz w:val="26"/>
          <w:szCs w:val="26"/>
        </w:rPr>
        <w:t>дминистрации</w:t>
      </w:r>
    </w:p>
    <w:p w:rsidR="00E61AC8" w:rsidRPr="007830AB" w:rsidRDefault="009B1FA2" w:rsidP="00D62EE3">
      <w:pPr>
        <w:widowControl w:val="0"/>
        <w:autoSpaceDE w:val="0"/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>Усть-Абаканского района</w:t>
      </w:r>
    </w:p>
    <w:p w:rsidR="009B1FA2" w:rsidRPr="007830AB" w:rsidRDefault="00E61AC8" w:rsidP="00D62EE3">
      <w:pPr>
        <w:widowControl w:val="0"/>
        <w:autoSpaceDE w:val="0"/>
        <w:autoSpaceDN w:val="0"/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от 11.11.2015  № 1618-п</w:t>
      </w: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E155AF" w:rsidRPr="007830AB" w:rsidRDefault="00E155AF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  <w:bookmarkStart w:id="0" w:name="P36"/>
      <w:bookmarkEnd w:id="0"/>
    </w:p>
    <w:p w:rsidR="002E6C78" w:rsidRPr="007830AB" w:rsidRDefault="002E6C78" w:rsidP="009B1F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30AB">
        <w:rPr>
          <w:rFonts w:ascii="Times New Roman" w:eastAsia="Times New Roman" w:hAnsi="Times New Roman" w:cs="Times New Roman"/>
          <w:b/>
          <w:sz w:val="28"/>
          <w:szCs w:val="28"/>
        </w:rPr>
        <w:t>МУНИЦИПАЛЬНАЯ ПРОГРАММА</w:t>
      </w: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30AB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МУНИЦИПАЛЬНОГО ИМУЩЕСТВА </w:t>
      </w: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30AB">
        <w:rPr>
          <w:rFonts w:ascii="Times New Roman" w:eastAsia="Times New Roman" w:hAnsi="Times New Roman" w:cs="Times New Roman"/>
          <w:b/>
          <w:sz w:val="28"/>
          <w:szCs w:val="28"/>
        </w:rPr>
        <w:t>В УСТЬ-АБАКАНСКОМ РАЙОНЕ»</w:t>
      </w: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2E6C78" w:rsidRPr="007830AB" w:rsidRDefault="002E6C78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2E6C78" w:rsidRPr="007830AB" w:rsidRDefault="002E6C78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2E6C78" w:rsidRPr="007830AB" w:rsidRDefault="002E6C78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E61AC8" w:rsidRPr="007830AB" w:rsidRDefault="00E61AC8" w:rsidP="009B1F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1FA2" w:rsidRPr="007830AB" w:rsidRDefault="009B1FA2" w:rsidP="009B1F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</w:p>
    <w:p w:rsidR="00E61AC8" w:rsidRPr="007830AB" w:rsidRDefault="00E61AC8" w:rsidP="00E61A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рп</w:t>
      </w:r>
      <w:r w:rsidR="000A4BC8" w:rsidRPr="007830AB">
        <w:rPr>
          <w:rFonts w:ascii="Times New Roman" w:hAnsi="Times New Roman" w:cs="Times New Roman"/>
          <w:sz w:val="26"/>
          <w:szCs w:val="26"/>
        </w:rPr>
        <w:t xml:space="preserve"> </w:t>
      </w:r>
      <w:r w:rsidRPr="007830AB">
        <w:rPr>
          <w:rFonts w:ascii="Times New Roman" w:hAnsi="Times New Roman" w:cs="Times New Roman"/>
          <w:sz w:val="26"/>
          <w:szCs w:val="26"/>
        </w:rPr>
        <w:t>Усть-Абакан</w:t>
      </w:r>
    </w:p>
    <w:p w:rsidR="009B1FA2" w:rsidRPr="007830AB" w:rsidRDefault="009B1FA2" w:rsidP="00E61A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F15D4B" w:rsidRPr="007830AB">
        <w:rPr>
          <w:rFonts w:ascii="Times New Roman" w:eastAsia="Times New Roman" w:hAnsi="Times New Roman" w:cs="Times New Roman"/>
          <w:sz w:val="26"/>
          <w:szCs w:val="26"/>
        </w:rPr>
        <w:t>5</w:t>
      </w:r>
      <w:r w:rsidR="00E155AF" w:rsidRPr="007830AB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</w:p>
    <w:p w:rsidR="00E61AC8" w:rsidRPr="007830AB" w:rsidRDefault="00E61AC8" w:rsidP="00A34F8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573"/>
      <w:bookmarkEnd w:id="1"/>
      <w:r w:rsidRPr="007830AB">
        <w:rPr>
          <w:rFonts w:ascii="Times New Roman" w:hAnsi="Times New Roman" w:cs="Times New Roman"/>
          <w:b/>
          <w:sz w:val="26"/>
          <w:szCs w:val="26"/>
        </w:rPr>
        <w:lastRenderedPageBreak/>
        <w:t>ПАСПОРТ</w:t>
      </w:r>
    </w:p>
    <w:p w:rsidR="00A34F84" w:rsidRPr="007830AB" w:rsidRDefault="00A34F84" w:rsidP="00A34F8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30AB">
        <w:rPr>
          <w:rFonts w:ascii="Times New Roman" w:hAnsi="Times New Roman" w:cs="Times New Roman"/>
          <w:b/>
          <w:sz w:val="26"/>
          <w:szCs w:val="26"/>
        </w:rPr>
        <w:t xml:space="preserve"> муниципальной программы </w:t>
      </w:r>
    </w:p>
    <w:p w:rsidR="00E27118" w:rsidRPr="007830AB" w:rsidRDefault="00E27118" w:rsidP="00A34F8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30AB">
        <w:rPr>
          <w:rFonts w:ascii="Times New Roman" w:hAnsi="Times New Roman" w:cs="Times New Roman"/>
          <w:b/>
          <w:sz w:val="26"/>
          <w:szCs w:val="26"/>
        </w:rPr>
        <w:t>«Развитие муниципального имущества в Усть-Абаканском районе»</w:t>
      </w:r>
    </w:p>
    <w:p w:rsidR="00BA2F0C" w:rsidRPr="007830AB" w:rsidRDefault="00BA2F0C" w:rsidP="00BA2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44"/>
        <w:gridCol w:w="5528"/>
      </w:tblGrid>
      <w:tr w:rsidR="00BA2F0C" w:rsidRPr="007830AB" w:rsidTr="00E61AC8">
        <w:trPr>
          <w:trHeight w:val="197"/>
        </w:trPr>
        <w:tc>
          <w:tcPr>
            <w:tcW w:w="3544" w:type="dxa"/>
          </w:tcPr>
          <w:p w:rsidR="00BA2F0C" w:rsidRPr="007830AB" w:rsidRDefault="00BA2F0C" w:rsidP="00E155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528" w:type="dxa"/>
          </w:tcPr>
          <w:p w:rsidR="00BA2F0C" w:rsidRPr="007830AB" w:rsidRDefault="00E27118" w:rsidP="00E155A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</w:t>
            </w:r>
            <w:r w:rsidR="00FB77A5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 </w:t>
            </w:r>
            <w:r w:rsidR="005F0CC6" w:rsidRPr="007830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5F0CC6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Республики Хакасия</w:t>
            </w:r>
            <w:r w:rsidR="00F15D4B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2F0C" w:rsidRPr="007830AB" w:rsidTr="00E61AC8">
        <w:trPr>
          <w:trHeight w:val="273"/>
        </w:trPr>
        <w:tc>
          <w:tcPr>
            <w:tcW w:w="3544" w:type="dxa"/>
          </w:tcPr>
          <w:p w:rsidR="00BA2F0C" w:rsidRPr="007830AB" w:rsidRDefault="00BA2F0C" w:rsidP="00E155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528" w:type="dxa"/>
          </w:tcPr>
          <w:p w:rsidR="00BA2F0C" w:rsidRPr="007830AB" w:rsidRDefault="00E61AC8" w:rsidP="00E155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A2F0C" w:rsidRPr="007830AB" w:rsidTr="00E61AC8">
        <w:trPr>
          <w:trHeight w:val="249"/>
        </w:trPr>
        <w:tc>
          <w:tcPr>
            <w:tcW w:w="3544" w:type="dxa"/>
          </w:tcPr>
          <w:p w:rsidR="00BA2F0C" w:rsidRPr="007830AB" w:rsidRDefault="00BA2F0C" w:rsidP="00E155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528" w:type="dxa"/>
          </w:tcPr>
          <w:p w:rsidR="00BA2F0C" w:rsidRPr="007830AB" w:rsidRDefault="00E61AC8" w:rsidP="00E155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A2F0C" w:rsidRPr="007830AB" w:rsidTr="00E61AC8">
        <w:trPr>
          <w:trHeight w:val="239"/>
        </w:trPr>
        <w:tc>
          <w:tcPr>
            <w:tcW w:w="3544" w:type="dxa"/>
          </w:tcPr>
          <w:p w:rsidR="00BA2F0C" w:rsidRPr="007830AB" w:rsidRDefault="00BA2F0C" w:rsidP="00E155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528" w:type="dxa"/>
          </w:tcPr>
          <w:p w:rsidR="00BA2F0C" w:rsidRPr="007830AB" w:rsidRDefault="00E27118" w:rsidP="0090343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зем</w:t>
            </w:r>
            <w:r w:rsidR="00903430" w:rsidRPr="007830AB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и иного имущества, находящегося в муниципальной собственности Усть-Абаканского</w:t>
            </w:r>
            <w:r w:rsidR="005F0D67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 w:rsidR="005F0D67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, путем вовлечения имущества в оборот и увеличения доходов от его использования</w:t>
            </w:r>
            <w:r w:rsidR="000A4BC8" w:rsidRPr="007830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2F0C" w:rsidRPr="007830AB" w:rsidTr="00E61AC8">
        <w:trPr>
          <w:trHeight w:val="215"/>
        </w:trPr>
        <w:tc>
          <w:tcPr>
            <w:tcW w:w="3544" w:type="dxa"/>
          </w:tcPr>
          <w:p w:rsidR="00BA2F0C" w:rsidRPr="007830AB" w:rsidRDefault="00BA2F0C" w:rsidP="00E155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528" w:type="dxa"/>
          </w:tcPr>
          <w:p w:rsidR="004B006B" w:rsidRPr="007830AB" w:rsidRDefault="00E27118" w:rsidP="00E155A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B006B" w:rsidRPr="007830A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эффективности качества управления муниципальным имуществом.</w:t>
            </w:r>
          </w:p>
          <w:p w:rsidR="00E27118" w:rsidRPr="007830AB" w:rsidRDefault="002209BD" w:rsidP="00E155A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2. Инвентаризация, регистрация, оценка и корректировка реестра муниципального имущества </w:t>
            </w:r>
            <w:r w:rsidR="005F0D67" w:rsidRPr="007830A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для создания условий его эффективного использования. Содержание муниципального имущества </w:t>
            </w:r>
            <w:r w:rsidR="00CF47BA" w:rsidRPr="007830A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. Постановка на кадастровый учет объектов муниципальной собственности Усть-Абаканского </w:t>
            </w:r>
            <w:r w:rsidR="00527A9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527A9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6739" w:rsidRPr="007830AB" w:rsidRDefault="005A4CD3" w:rsidP="00E867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441F4C" w:rsidRPr="007830A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E86739" w:rsidRPr="007830AB">
              <w:rPr>
                <w:rFonts w:ascii="Times New Roman" w:hAnsi="Times New Roman" w:cs="Times New Roman"/>
                <w:sz w:val="24"/>
                <w:szCs w:val="24"/>
              </w:rPr>
              <w:t>ормирование эффективной структуры собственности Усть-Абаканск</w:t>
            </w:r>
            <w:r w:rsidR="005C2824" w:rsidRPr="007830A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E86739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D67" w:rsidRPr="007830A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Республики Хакасия</w:t>
            </w:r>
            <w:r w:rsidR="00E86739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и создание условий для увеличения н</w:t>
            </w:r>
            <w:r w:rsidR="00441F4C" w:rsidRPr="007830AB">
              <w:rPr>
                <w:rFonts w:ascii="Times New Roman" w:hAnsi="Times New Roman" w:cs="Times New Roman"/>
                <w:sz w:val="24"/>
                <w:szCs w:val="24"/>
              </w:rPr>
              <w:t>еналоговых платежей.</w:t>
            </w:r>
          </w:p>
          <w:p w:rsidR="00BA2F0C" w:rsidRPr="007830AB" w:rsidRDefault="004B006B" w:rsidP="00E867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7118" w:rsidRPr="007830AB">
              <w:rPr>
                <w:rFonts w:ascii="Times New Roman" w:hAnsi="Times New Roman" w:cs="Times New Roman"/>
                <w:sz w:val="24"/>
                <w:szCs w:val="24"/>
              </w:rPr>
              <w:t>. Формирование, постановка на государственный кадастровый учет земельных участков, выкуп в муниципальную собственность земельных участков сельскохозяйственного назначения в соответствии с имеющимся преимущественным правом, для дальнейшего вовлечения указанных участков в хозяйственный оборот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, а также постановка на кадастровый учет земельных участков под автомобильными дорогами</w:t>
            </w:r>
            <w:r w:rsidR="00E27118" w:rsidRPr="007830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2F0C" w:rsidRPr="007830AB" w:rsidTr="00E61AC8">
        <w:trPr>
          <w:trHeight w:val="205"/>
        </w:trPr>
        <w:tc>
          <w:tcPr>
            <w:tcW w:w="3544" w:type="dxa"/>
          </w:tcPr>
          <w:p w:rsidR="00BA2F0C" w:rsidRPr="007830AB" w:rsidRDefault="00BA2F0C" w:rsidP="00E155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528" w:type="dxa"/>
          </w:tcPr>
          <w:p w:rsidR="00BA2F0C" w:rsidRPr="007830AB" w:rsidRDefault="00E27118" w:rsidP="00E155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Деление на подпрограммы не предусмотрено</w:t>
            </w:r>
          </w:p>
        </w:tc>
      </w:tr>
      <w:tr w:rsidR="00E61AC8" w:rsidRPr="007830AB" w:rsidTr="00E61AC8">
        <w:trPr>
          <w:trHeight w:val="205"/>
        </w:trPr>
        <w:tc>
          <w:tcPr>
            <w:tcW w:w="3544" w:type="dxa"/>
          </w:tcPr>
          <w:p w:rsidR="00E61AC8" w:rsidRPr="007830AB" w:rsidRDefault="00E61AC8" w:rsidP="00E155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528" w:type="dxa"/>
          </w:tcPr>
          <w:p w:rsidR="00E61AC8" w:rsidRPr="007830AB" w:rsidRDefault="00E61AC8" w:rsidP="00E15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03176" w:rsidRPr="007830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A03176" w:rsidRPr="007830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E61AC8" w:rsidRPr="007830AB" w:rsidRDefault="00E61AC8" w:rsidP="00E155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F0C" w:rsidRPr="007830AB" w:rsidTr="00E61AC8">
        <w:trPr>
          <w:trHeight w:val="171"/>
        </w:trPr>
        <w:tc>
          <w:tcPr>
            <w:tcW w:w="3544" w:type="dxa"/>
          </w:tcPr>
          <w:p w:rsidR="00BA2F0C" w:rsidRPr="007830AB" w:rsidRDefault="00BA2F0C" w:rsidP="00E155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r w:rsidR="00FE2DD5" w:rsidRPr="007830AB">
              <w:rPr>
                <w:rFonts w:ascii="Times New Roman" w:hAnsi="Times New Roman" w:cs="Times New Roman"/>
                <w:sz w:val="24"/>
                <w:szCs w:val="24"/>
              </w:rPr>
              <w:t>бюджетных ассигнований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528" w:type="dxa"/>
          </w:tcPr>
          <w:p w:rsidR="00CE4103" w:rsidRPr="007830AB" w:rsidRDefault="00CE4103" w:rsidP="00CE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(рублей) – </w:t>
            </w:r>
            <w:r w:rsidR="00D40D6F" w:rsidRPr="007830AB">
              <w:rPr>
                <w:rFonts w:ascii="Times New Roman" w:hAnsi="Times New Roman" w:cs="Times New Roman"/>
                <w:sz w:val="24"/>
                <w:szCs w:val="24"/>
              </w:rPr>
              <w:t>171 623 792,49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, из них средства:</w:t>
            </w:r>
          </w:p>
          <w:p w:rsidR="00CE4103" w:rsidRPr="007830AB" w:rsidRDefault="00CE4103" w:rsidP="00CE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- федерального бюджета – 151 525,06,</w:t>
            </w:r>
          </w:p>
          <w:p w:rsidR="00CE4103" w:rsidRPr="007830AB" w:rsidRDefault="00CE4103" w:rsidP="00CE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- республиканского бюджета – </w:t>
            </w:r>
            <w:r w:rsidR="00D40D6F" w:rsidRPr="007830AB">
              <w:rPr>
                <w:rFonts w:ascii="Times New Roman" w:hAnsi="Times New Roman" w:cs="Times New Roman"/>
                <w:sz w:val="24"/>
                <w:szCs w:val="24"/>
              </w:rPr>
              <w:t>5 363 656,41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E4103" w:rsidRPr="007830AB" w:rsidRDefault="00CE4103" w:rsidP="00CE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- районного бюджета – </w:t>
            </w:r>
            <w:r w:rsidR="00D40D6F" w:rsidRPr="007830AB">
              <w:rPr>
                <w:rFonts w:ascii="Times New Roman" w:hAnsi="Times New Roman" w:cs="Times New Roman"/>
                <w:sz w:val="24"/>
                <w:szCs w:val="24"/>
              </w:rPr>
              <w:t>166 108 611,02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E4103" w:rsidRPr="007830AB" w:rsidRDefault="00CE4103" w:rsidP="00CE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по годам:</w:t>
            </w:r>
          </w:p>
          <w:p w:rsidR="00CE4103" w:rsidRPr="007830AB" w:rsidRDefault="00CE4103" w:rsidP="00CE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2023 год – 28 487 172,58, из них средства:</w:t>
            </w:r>
          </w:p>
          <w:p w:rsidR="00CE4103" w:rsidRPr="007830AB" w:rsidRDefault="00CE4103" w:rsidP="00CE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- республиканского бюджета – 2 320 743,00,</w:t>
            </w:r>
          </w:p>
          <w:p w:rsidR="00CE4103" w:rsidRPr="007830AB" w:rsidRDefault="00CE4103" w:rsidP="00CE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- районного бюджета – 26 166 429,58;</w:t>
            </w:r>
          </w:p>
          <w:p w:rsidR="00CE4103" w:rsidRPr="007830AB" w:rsidRDefault="00CE4103" w:rsidP="00CE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2024 год – 30 823 908,79, из них средства:</w:t>
            </w:r>
          </w:p>
          <w:p w:rsidR="00CE4103" w:rsidRPr="007830AB" w:rsidRDefault="00CE4103" w:rsidP="00CE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- федерального бюджета – 151 525,06,</w:t>
            </w:r>
          </w:p>
          <w:p w:rsidR="00CE4103" w:rsidRPr="007830AB" w:rsidRDefault="00CE4103" w:rsidP="00CE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- республиканского бюджета – 1 883 128,51,</w:t>
            </w:r>
          </w:p>
          <w:p w:rsidR="00CE4103" w:rsidRPr="007830AB" w:rsidRDefault="00CE4103" w:rsidP="00CE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- районного бюджета – 28 789 255,22;</w:t>
            </w:r>
          </w:p>
          <w:p w:rsidR="00CE4103" w:rsidRPr="007830AB" w:rsidRDefault="00CE4103" w:rsidP="00CE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2B4728" w:rsidRPr="007830AB">
              <w:rPr>
                <w:rFonts w:ascii="Times New Roman" w:hAnsi="Times New Roman" w:cs="Times New Roman"/>
                <w:sz w:val="24"/>
                <w:szCs w:val="24"/>
              </w:rPr>
              <w:t>28 649 1</w:t>
            </w:r>
            <w:r w:rsidR="00273D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B4728" w:rsidRPr="007830AB">
              <w:rPr>
                <w:rFonts w:ascii="Times New Roman" w:hAnsi="Times New Roman" w:cs="Times New Roman"/>
                <w:sz w:val="24"/>
                <w:szCs w:val="24"/>
              </w:rPr>
              <w:t>9,83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, из них средства:</w:t>
            </w:r>
          </w:p>
          <w:p w:rsidR="002B4728" w:rsidRPr="007830AB" w:rsidRDefault="002B4728" w:rsidP="002B47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- республиканского бюджета – 1 159 784,90,</w:t>
            </w:r>
          </w:p>
          <w:p w:rsidR="00CE4103" w:rsidRPr="007830AB" w:rsidRDefault="00CE4103" w:rsidP="00CE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- районного бюджета – </w:t>
            </w:r>
            <w:r w:rsidR="00A03176" w:rsidRPr="007830AB">
              <w:rPr>
                <w:rFonts w:ascii="Times New Roman" w:hAnsi="Times New Roman" w:cs="Times New Roman"/>
                <w:sz w:val="24"/>
                <w:szCs w:val="24"/>
              </w:rPr>
              <w:t>27 489 394,93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4103" w:rsidRPr="007830AB" w:rsidRDefault="00CE4103" w:rsidP="00CE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CE1EE0" w:rsidRPr="007830AB">
              <w:rPr>
                <w:rFonts w:ascii="Times New Roman" w:hAnsi="Times New Roman" w:cs="Times New Roman"/>
                <w:sz w:val="24"/>
                <w:szCs w:val="24"/>
              </w:rPr>
              <w:t>29 203 387,63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, из них средства:</w:t>
            </w:r>
          </w:p>
          <w:p w:rsidR="00CE4103" w:rsidRPr="007830AB" w:rsidRDefault="00CE4103" w:rsidP="00CE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- районного бюджета – </w:t>
            </w:r>
            <w:r w:rsidR="00CE1EE0" w:rsidRPr="007830AB">
              <w:rPr>
                <w:rFonts w:ascii="Times New Roman" w:hAnsi="Times New Roman" w:cs="Times New Roman"/>
                <w:sz w:val="24"/>
                <w:szCs w:val="24"/>
              </w:rPr>
              <w:t>29 203 387,63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4103" w:rsidRPr="007830AB" w:rsidRDefault="00CE4103" w:rsidP="00CE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463DE4" w:rsidRPr="007830AB">
              <w:rPr>
                <w:rFonts w:ascii="Times New Roman" w:hAnsi="Times New Roman" w:cs="Times New Roman"/>
                <w:sz w:val="24"/>
                <w:szCs w:val="24"/>
              </w:rPr>
              <w:t>27 382 071,83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, из них средства:</w:t>
            </w:r>
          </w:p>
          <w:p w:rsidR="00BA2F0C" w:rsidRPr="007830AB" w:rsidRDefault="00CE4103" w:rsidP="00CE410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- районного бюджета – </w:t>
            </w:r>
            <w:r w:rsidR="00463DE4" w:rsidRPr="007830AB">
              <w:rPr>
                <w:rFonts w:ascii="Times New Roman" w:hAnsi="Times New Roman" w:cs="Times New Roman"/>
                <w:sz w:val="24"/>
                <w:szCs w:val="24"/>
              </w:rPr>
              <w:t>27 382 071,83</w:t>
            </w:r>
            <w:r w:rsidR="00326E5A" w:rsidRPr="007830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6E5A" w:rsidRPr="007830AB" w:rsidRDefault="00326E5A" w:rsidP="00326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2028 год – </w:t>
            </w:r>
            <w:r w:rsidR="00463DE4" w:rsidRPr="007830AB">
              <w:rPr>
                <w:rFonts w:ascii="Times New Roman" w:hAnsi="Times New Roman" w:cs="Times New Roman"/>
                <w:sz w:val="24"/>
                <w:szCs w:val="24"/>
              </w:rPr>
              <w:t>27 078 071,83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, из них средства:</w:t>
            </w:r>
          </w:p>
          <w:p w:rsidR="00326E5A" w:rsidRPr="007830AB" w:rsidRDefault="00326E5A" w:rsidP="00463DE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- районного бюджета – </w:t>
            </w:r>
            <w:r w:rsidR="00463DE4" w:rsidRPr="007830AB">
              <w:rPr>
                <w:rFonts w:ascii="Times New Roman" w:hAnsi="Times New Roman" w:cs="Times New Roman"/>
                <w:sz w:val="24"/>
                <w:szCs w:val="24"/>
              </w:rPr>
              <w:t>27 078 071,83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2F0C" w:rsidRPr="007830AB" w:rsidTr="00E61AC8">
        <w:trPr>
          <w:trHeight w:val="203"/>
        </w:trPr>
        <w:tc>
          <w:tcPr>
            <w:tcW w:w="3544" w:type="dxa"/>
          </w:tcPr>
          <w:p w:rsidR="00BA2F0C" w:rsidRPr="007830AB" w:rsidRDefault="00FE2DD5" w:rsidP="00E155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Конечные </w:t>
            </w:r>
            <w:r w:rsidR="00BA2F0C" w:rsidRPr="007830AB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 муниципальной программы</w:t>
            </w:r>
          </w:p>
        </w:tc>
        <w:tc>
          <w:tcPr>
            <w:tcW w:w="5528" w:type="dxa"/>
          </w:tcPr>
          <w:p w:rsidR="00F50DBA" w:rsidRPr="007830AB" w:rsidRDefault="00805338" w:rsidP="000A4B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50DBA" w:rsidRPr="007830AB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функций в сфере земельно-имущественных отношений</w:t>
            </w:r>
            <w:r w:rsidR="001F6C79" w:rsidRPr="007830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50A3" w:rsidRPr="007830AB" w:rsidRDefault="004B006B" w:rsidP="000A4BC8">
            <w:pPr>
              <w:pStyle w:val="ConsPlusNormal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50A3" w:rsidRPr="007830AB">
              <w:rPr>
                <w:rFonts w:ascii="Times New Roman" w:hAnsi="Times New Roman" w:cs="Times New Roman"/>
                <w:sz w:val="24"/>
                <w:szCs w:val="24"/>
              </w:rPr>
              <w:t>. Увеличение доли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</w:t>
            </w:r>
            <w:r w:rsidR="00287FF0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, с учетом объектов дорожной инфраструктуры, тепловых сетей, сетей водоснабжения и </w:t>
            </w:r>
            <w:r w:rsidR="00CC7303" w:rsidRPr="007830AB">
              <w:rPr>
                <w:rFonts w:ascii="Times New Roman" w:hAnsi="Times New Roman" w:cs="Times New Roman"/>
                <w:sz w:val="24"/>
                <w:szCs w:val="24"/>
              </w:rPr>
              <w:t>водоотведения.</w:t>
            </w:r>
          </w:p>
          <w:p w:rsidR="00564A62" w:rsidRPr="007830AB" w:rsidRDefault="004B006B" w:rsidP="000A4B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41BFC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64A62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поступлений в бюджет </w:t>
            </w:r>
            <w:r w:rsidR="00FA2B43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CF47BA" w:rsidRPr="007830A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</w:t>
            </w:r>
            <w:r w:rsidR="00564A62" w:rsidRPr="007830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F47BA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4A62" w:rsidRPr="007830AB">
              <w:rPr>
                <w:rFonts w:ascii="Times New Roman" w:hAnsi="Times New Roman" w:cs="Times New Roman"/>
                <w:sz w:val="24"/>
                <w:szCs w:val="24"/>
              </w:rPr>
              <w:t>полученных от использования муниципального имущества</w:t>
            </w:r>
            <w:r w:rsidR="00CC7303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участков, вовлеченных в хозяйственный оборот</w:t>
            </w:r>
            <w:r w:rsidR="00564A62" w:rsidRPr="007830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2B65" w:rsidRPr="007830AB" w:rsidRDefault="004B006B" w:rsidP="000A4B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1BFC" w:rsidRPr="007830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A2B43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303" w:rsidRPr="007830AB">
              <w:rPr>
                <w:rFonts w:ascii="Times New Roman" w:hAnsi="Times New Roman" w:cs="Times New Roman"/>
                <w:sz w:val="24"/>
                <w:szCs w:val="24"/>
              </w:rPr>
              <w:t>Увеличение п</w:t>
            </w:r>
            <w:r w:rsidR="002A50A3" w:rsidRPr="007830AB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="00CC7303" w:rsidRPr="007830AB">
              <w:rPr>
                <w:rFonts w:ascii="Times New Roman" w:hAnsi="Times New Roman" w:cs="Times New Roman"/>
                <w:sz w:val="24"/>
                <w:szCs w:val="24"/>
              </w:rPr>
              <w:t>вленных</w:t>
            </w:r>
            <w:r w:rsidR="002A50A3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на кадастровый учет земельных участков, во</w:t>
            </w:r>
            <w:r w:rsidR="00CC7303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влекаемых в хозяйственный оборот, </w:t>
            </w:r>
            <w:r w:rsidR="002A50A3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="008D7456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под объектами </w:t>
            </w:r>
            <w:r w:rsidR="002A50A3" w:rsidRPr="007830AB">
              <w:rPr>
                <w:rFonts w:ascii="Times New Roman" w:hAnsi="Times New Roman" w:cs="Times New Roman"/>
                <w:sz w:val="24"/>
                <w:szCs w:val="24"/>
              </w:rPr>
              <w:t>дорожной инфраструктуры, тепловы</w:t>
            </w:r>
            <w:r w:rsidR="008D7456" w:rsidRPr="007830AB">
              <w:rPr>
                <w:rFonts w:ascii="Times New Roman" w:hAnsi="Times New Roman" w:cs="Times New Roman"/>
                <w:sz w:val="24"/>
                <w:szCs w:val="24"/>
              </w:rPr>
              <w:t>ми сетями</w:t>
            </w:r>
            <w:r w:rsidR="002A50A3" w:rsidRPr="007830AB">
              <w:rPr>
                <w:rFonts w:ascii="Times New Roman" w:hAnsi="Times New Roman" w:cs="Times New Roman"/>
                <w:sz w:val="24"/>
                <w:szCs w:val="24"/>
              </w:rPr>
              <w:t>, сет</w:t>
            </w:r>
            <w:r w:rsidR="008D7456" w:rsidRPr="007830AB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2A50A3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 и водоотведения. </w:t>
            </w:r>
          </w:p>
          <w:p w:rsidR="000C2084" w:rsidRPr="007830AB" w:rsidRDefault="00632B65" w:rsidP="000A4B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A2B43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0A3" w:rsidRPr="007830AB"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с действующим законодательством документов территориального планирования.</w:t>
            </w:r>
          </w:p>
        </w:tc>
      </w:tr>
    </w:tbl>
    <w:p w:rsidR="00BA2F0C" w:rsidRPr="007830AB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1FA2" w:rsidRPr="007830AB" w:rsidRDefault="009B1FA2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1003" w:rsidRPr="007830AB" w:rsidRDefault="00901003" w:rsidP="009B1F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6"/>
          <w:szCs w:val="26"/>
          <w:lang w:eastAsia="en-US"/>
        </w:rPr>
      </w:pPr>
      <w:r w:rsidRPr="007830AB">
        <w:rPr>
          <w:rFonts w:ascii="Times New Roman" w:eastAsiaTheme="majorEastAsia" w:hAnsi="Times New Roman" w:cs="Times New Roman"/>
          <w:b/>
          <w:bCs/>
          <w:sz w:val="26"/>
          <w:szCs w:val="26"/>
          <w:lang w:eastAsia="en-US"/>
        </w:rPr>
        <w:t xml:space="preserve">Текстовая часть муниципальной программы </w:t>
      </w:r>
    </w:p>
    <w:p w:rsidR="009B1FA2" w:rsidRPr="007830AB" w:rsidRDefault="00901003" w:rsidP="009B1F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6"/>
          <w:szCs w:val="26"/>
          <w:lang w:eastAsia="en-US"/>
        </w:rPr>
      </w:pPr>
      <w:r w:rsidRPr="007830AB">
        <w:rPr>
          <w:rFonts w:ascii="Times New Roman" w:eastAsiaTheme="majorEastAsia" w:hAnsi="Times New Roman" w:cs="Times New Roman"/>
          <w:b/>
          <w:bCs/>
          <w:sz w:val="26"/>
          <w:szCs w:val="26"/>
          <w:lang w:eastAsia="en-US"/>
        </w:rPr>
        <w:t>«Развитие муниципального имущества в Усть-Абаканском районе»</w:t>
      </w:r>
    </w:p>
    <w:p w:rsidR="00901003" w:rsidRPr="007830AB" w:rsidRDefault="00901003" w:rsidP="009B1F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6"/>
          <w:szCs w:val="26"/>
          <w:lang w:eastAsia="en-US"/>
        </w:rPr>
      </w:pPr>
    </w:p>
    <w:p w:rsidR="00901003" w:rsidRPr="007830AB" w:rsidRDefault="00901003" w:rsidP="00901003">
      <w:pPr>
        <w:pStyle w:val="ad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6"/>
          <w:szCs w:val="26"/>
          <w:lang w:eastAsia="en-US"/>
        </w:rPr>
      </w:pPr>
      <w:r w:rsidRPr="007830AB">
        <w:rPr>
          <w:rFonts w:ascii="Times New Roman" w:eastAsiaTheme="majorEastAsia" w:hAnsi="Times New Roman" w:cs="Times New Roman"/>
          <w:b/>
          <w:bCs/>
          <w:sz w:val="26"/>
          <w:szCs w:val="26"/>
          <w:lang w:eastAsia="en-US"/>
        </w:rPr>
        <w:t>Цели и задачи муниципальной программы</w:t>
      </w:r>
    </w:p>
    <w:p w:rsidR="00A34F84" w:rsidRPr="007830AB" w:rsidRDefault="00A34F84" w:rsidP="009B1F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 xml:space="preserve">Муниципальная программа «Развитие муниципального имущества </w:t>
      </w:r>
      <w:r w:rsidRPr="007830AB">
        <w:rPr>
          <w:rFonts w:ascii="Times New Roman" w:hAnsi="Times New Roman" w:cs="Times New Roman"/>
          <w:bCs/>
          <w:sz w:val="26"/>
          <w:szCs w:val="26"/>
          <w:lang w:eastAsia="en-US"/>
        </w:rPr>
        <w:t>в                      Усть-Абаканско</w:t>
      </w:r>
      <w:r w:rsidR="00CF47BA" w:rsidRPr="007830AB">
        <w:rPr>
          <w:rFonts w:ascii="Times New Roman" w:hAnsi="Times New Roman" w:cs="Times New Roman"/>
          <w:bCs/>
          <w:sz w:val="26"/>
          <w:szCs w:val="26"/>
          <w:lang w:eastAsia="en-US"/>
        </w:rPr>
        <w:t>м</w:t>
      </w:r>
      <w:r w:rsidR="00F15D4B" w:rsidRPr="007830AB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</w:t>
      </w:r>
      <w:r w:rsidR="00CF47BA" w:rsidRPr="007830AB">
        <w:rPr>
          <w:rFonts w:ascii="Times New Roman" w:hAnsi="Times New Roman" w:cs="Times New Roman"/>
          <w:bCs/>
          <w:sz w:val="26"/>
          <w:szCs w:val="26"/>
          <w:lang w:eastAsia="en-US"/>
        </w:rPr>
        <w:t>районе</w:t>
      </w:r>
      <w:r w:rsidRPr="007830AB">
        <w:rPr>
          <w:rFonts w:ascii="Times New Roman" w:hAnsi="Times New Roman" w:cs="Times New Roman"/>
          <w:sz w:val="26"/>
          <w:szCs w:val="26"/>
        </w:rPr>
        <w:t xml:space="preserve">» (далее – муниципальная программа) разработана с учетом Федерального </w:t>
      </w:r>
      <w:hyperlink r:id="rId8" w:history="1">
        <w:r w:rsidRPr="007830AB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7830AB">
        <w:rPr>
          <w:rFonts w:ascii="Times New Roman" w:hAnsi="Times New Roman" w:cs="Times New Roman"/>
          <w:sz w:val="26"/>
          <w:szCs w:val="26"/>
        </w:rPr>
        <w:t xml:space="preserve">а «Об общих принципах организации местного самоуправления в Российской Федерации» от 06.10.2003 № 131-ФЗ, </w:t>
      </w:r>
      <w:r w:rsidRPr="007830AB">
        <w:rPr>
          <w:rFonts w:ascii="Times New Roman" w:hAnsi="Times New Roman" w:cs="Times New Roman"/>
          <w:sz w:val="26"/>
          <w:szCs w:val="26"/>
        </w:rPr>
        <w:lastRenderedPageBreak/>
        <w:t>муниципальная собственность определена как экономическая основа местного самоуправления. Управление муниципальной собственностью предполагает решение вопросов местного значения и отдельных государственных полномочий, переданных от субъекта Российской Федерации, путем наиболее целесообразного использования собственного имущества муниципальным образованием при оптимальном уровне расходов на его управление и содержание.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Эффективное использование муниципального имущества включает в себя обеспечение его сохранности, развития, функционирования, содержания и использование всех объектов муниципальной собственности в интересах муниципального образования, в том числе извлечение дохода, в целях наиболее полного покрытия расходных обязательств и планов развития муниципального образования.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Управлением имущественных</w:t>
      </w:r>
      <w:r w:rsidR="00595DE2" w:rsidRPr="007830AB">
        <w:rPr>
          <w:rFonts w:ascii="Times New Roman" w:hAnsi="Times New Roman" w:cs="Times New Roman"/>
          <w:sz w:val="26"/>
          <w:szCs w:val="26"/>
        </w:rPr>
        <w:t xml:space="preserve"> и земельных</w:t>
      </w:r>
      <w:r w:rsidRPr="007830AB">
        <w:rPr>
          <w:rFonts w:ascii="Times New Roman" w:hAnsi="Times New Roman" w:cs="Times New Roman"/>
          <w:sz w:val="26"/>
          <w:szCs w:val="26"/>
        </w:rPr>
        <w:t xml:space="preserve"> отношений </w:t>
      </w:r>
      <w:r w:rsidR="00CF47BA" w:rsidRPr="007830AB">
        <w:rPr>
          <w:rFonts w:ascii="Times New Roman" w:hAnsi="Times New Roman" w:cs="Times New Roman"/>
          <w:sz w:val="26"/>
          <w:szCs w:val="26"/>
        </w:rPr>
        <w:t>А</w:t>
      </w:r>
      <w:r w:rsidRPr="007830AB">
        <w:rPr>
          <w:rFonts w:ascii="Times New Roman" w:hAnsi="Times New Roman" w:cs="Times New Roman"/>
          <w:sz w:val="26"/>
          <w:szCs w:val="26"/>
        </w:rPr>
        <w:t xml:space="preserve">дминистрации Усть-Абаканского </w:t>
      </w:r>
      <w:r w:rsidR="00CF47BA" w:rsidRPr="007830A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7830AB">
        <w:rPr>
          <w:rFonts w:ascii="Times New Roman" w:hAnsi="Times New Roman" w:cs="Times New Roman"/>
          <w:sz w:val="26"/>
          <w:szCs w:val="26"/>
        </w:rPr>
        <w:t>района</w:t>
      </w:r>
      <w:r w:rsidR="003611E3" w:rsidRPr="007830AB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7830AB">
        <w:rPr>
          <w:rFonts w:ascii="Times New Roman" w:hAnsi="Times New Roman" w:cs="Times New Roman"/>
          <w:sz w:val="26"/>
          <w:szCs w:val="26"/>
        </w:rPr>
        <w:t xml:space="preserve"> планируется обеспечить проведение работ по изготовлению технической документации, технических планов, кадастровых работ и постановку на государственный кадастровый учет объектов недвижимого имущества, что позволит осуществить государственную регистрацию прав с последующей передачей их в аренду (реализацию), выполнение обязательств в отношении расходов по содержанию муниципального имущества, проведение мероприятий, направленных на осуществление государственного кадастрового учета земельных участков, что позволит увеличить вовлечение земельных участков в оборот.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 xml:space="preserve">Целью муниципальной программы является повышение эффективности использования земель и иного имущества, находящегося в муниципальной собственности </w:t>
      </w:r>
      <w:r w:rsidR="002E03A3" w:rsidRPr="007830AB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</w:t>
      </w:r>
      <w:r w:rsidRPr="007830AB">
        <w:rPr>
          <w:rFonts w:ascii="Times New Roman" w:hAnsi="Times New Roman" w:cs="Times New Roman"/>
          <w:sz w:val="26"/>
          <w:szCs w:val="26"/>
        </w:rPr>
        <w:t>, путем вовлечения имущества в оборот и увеличения доходов от его использования.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Для достижения поставленной цели муниципальной программы предусмотрено решение четырех задач.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1. Создание условий для повышения эффективности качества управления муниципальным имуществом.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 xml:space="preserve">2. Инвентаризация, регистрация, оценка и корректировка реестра муниципального имущества </w:t>
      </w:r>
      <w:r w:rsidR="002F1831" w:rsidRPr="007830AB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</w:t>
      </w:r>
      <w:r w:rsidRPr="007830AB">
        <w:rPr>
          <w:rFonts w:ascii="Times New Roman" w:hAnsi="Times New Roman" w:cs="Times New Roman"/>
          <w:sz w:val="26"/>
          <w:szCs w:val="26"/>
        </w:rPr>
        <w:t xml:space="preserve"> для создания условий его эффективного использования. Содержание муниципального имущества </w:t>
      </w:r>
      <w:r w:rsidR="002F1831" w:rsidRPr="007830AB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</w:t>
      </w:r>
      <w:r w:rsidRPr="007830AB">
        <w:rPr>
          <w:rFonts w:ascii="Times New Roman" w:hAnsi="Times New Roman" w:cs="Times New Roman"/>
          <w:sz w:val="26"/>
          <w:szCs w:val="26"/>
        </w:rPr>
        <w:t xml:space="preserve">. Постановка на кадастровый учет объектов муниципальной собственности </w:t>
      </w:r>
      <w:r w:rsidR="002F1831" w:rsidRPr="007830AB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</w:t>
      </w:r>
      <w:r w:rsidRPr="007830AB">
        <w:rPr>
          <w:rFonts w:ascii="Times New Roman" w:hAnsi="Times New Roman" w:cs="Times New Roman"/>
          <w:sz w:val="26"/>
          <w:szCs w:val="26"/>
        </w:rPr>
        <w:t>.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 xml:space="preserve">3. Формирование эффективной структуры собственности </w:t>
      </w:r>
      <w:bookmarkStart w:id="2" w:name="_Hlk217893250"/>
      <w:r w:rsidR="002F1831" w:rsidRPr="007830AB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</w:t>
      </w:r>
      <w:bookmarkEnd w:id="2"/>
      <w:r w:rsidRPr="007830AB">
        <w:rPr>
          <w:rFonts w:ascii="Times New Roman" w:hAnsi="Times New Roman" w:cs="Times New Roman"/>
          <w:sz w:val="26"/>
          <w:szCs w:val="26"/>
        </w:rPr>
        <w:t xml:space="preserve"> и создание условий для увеличения неналоговых платежей.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4. Формирование, постановка на государственный кадастровый учет земельных участков, выкуп в муниципальную собственность земельных участков сельскохозяйственного назначения в соответствии с имеющимся преимущественным правом, для дальнейшего вовлечения указанных участков в хозяйственный оборот, а также постановка на кадастровый учет земельных участков под автомобильными дорогами.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 xml:space="preserve">Так, первая задача муниципальной программы «Создание условий для повышения эффективности качества управления муниципальным имуществом» </w:t>
      </w:r>
      <w:r w:rsidRPr="007830AB">
        <w:rPr>
          <w:rFonts w:ascii="Times New Roman" w:hAnsi="Times New Roman" w:cs="Times New Roman"/>
          <w:sz w:val="26"/>
          <w:szCs w:val="26"/>
        </w:rPr>
        <w:lastRenderedPageBreak/>
        <w:t>будет решена путем выполнения мероприятия:</w:t>
      </w:r>
    </w:p>
    <w:p w:rsidR="002209BD" w:rsidRPr="007830AB" w:rsidRDefault="002209BD" w:rsidP="002209BD">
      <w:pPr>
        <w:pStyle w:val="ad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Обеспечение развития отрасли, в том числе:</w:t>
      </w:r>
    </w:p>
    <w:p w:rsidR="002209BD" w:rsidRPr="007830AB" w:rsidRDefault="002209BD" w:rsidP="002209BD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- создание нормативной правовой базы в целях эффективного использования и распоряжения муниципальным имуществом и земельными участками;</w:t>
      </w:r>
    </w:p>
    <w:p w:rsidR="002209BD" w:rsidRPr="007830AB" w:rsidRDefault="002209BD" w:rsidP="002209BD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- обеспечение деятельности Управления имущественных</w:t>
      </w:r>
      <w:r w:rsidR="00595DE2" w:rsidRPr="007830AB">
        <w:rPr>
          <w:rFonts w:ascii="Times New Roman" w:hAnsi="Times New Roman" w:cs="Times New Roman"/>
          <w:sz w:val="26"/>
          <w:szCs w:val="26"/>
        </w:rPr>
        <w:t xml:space="preserve"> и земельных</w:t>
      </w:r>
      <w:r w:rsidRPr="007830AB">
        <w:rPr>
          <w:rFonts w:ascii="Times New Roman" w:hAnsi="Times New Roman" w:cs="Times New Roman"/>
          <w:sz w:val="26"/>
          <w:szCs w:val="26"/>
        </w:rPr>
        <w:t xml:space="preserve"> отношений </w:t>
      </w:r>
      <w:r w:rsidR="001021CA" w:rsidRPr="007830AB">
        <w:rPr>
          <w:rFonts w:ascii="Times New Roman" w:hAnsi="Times New Roman" w:cs="Times New Roman"/>
          <w:sz w:val="26"/>
          <w:szCs w:val="26"/>
        </w:rPr>
        <w:t>А</w:t>
      </w:r>
      <w:r w:rsidRPr="007830AB">
        <w:rPr>
          <w:rFonts w:ascii="Times New Roman" w:hAnsi="Times New Roman" w:cs="Times New Roman"/>
          <w:sz w:val="26"/>
          <w:szCs w:val="26"/>
        </w:rPr>
        <w:t xml:space="preserve">дминистрации Усть-Абаканского </w:t>
      </w:r>
      <w:r w:rsidR="001021CA" w:rsidRPr="007830A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7830AB">
        <w:rPr>
          <w:rFonts w:ascii="Times New Roman" w:hAnsi="Times New Roman" w:cs="Times New Roman"/>
          <w:sz w:val="26"/>
          <w:szCs w:val="26"/>
        </w:rPr>
        <w:t>района Республики Хакасия.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Вторая задача муниципальной программы «</w:t>
      </w:r>
      <w:r w:rsidR="0037543D" w:rsidRPr="007830AB">
        <w:rPr>
          <w:rFonts w:ascii="Times New Roman" w:hAnsi="Times New Roman" w:cs="Times New Roman"/>
          <w:sz w:val="26"/>
          <w:szCs w:val="26"/>
        </w:rPr>
        <w:t>Инвентаризация, регистрация, оценка и корректировка реестра муниципального имущества для создания условий эффективного его использования, а также содержание муниципального имущества</w:t>
      </w:r>
      <w:r w:rsidRPr="007830AB">
        <w:rPr>
          <w:rFonts w:ascii="Times New Roman" w:hAnsi="Times New Roman" w:cs="Times New Roman"/>
          <w:sz w:val="26"/>
          <w:szCs w:val="26"/>
        </w:rPr>
        <w:t>» будет решена путем выполнения следующих мероприятий: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 xml:space="preserve">а) Повышение эффективности управления объектами недвижимого имущества муниципальной собственности, в том числе: 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- организация и проведение работ по изготовлению технических паспортов, технических планов на объекты недвижимого имущества;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- постановка на государственный кадастровый учет объектов недвижимого муниципального имущества и его содержания;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- выполнение работ по оценке рыночной стоимости арендной платы на объекты, в том числе земельные участки, подлежащие передаче в аренду, в том числе по оценке объектов, подлежащих реализации, а также содержания имущества;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- выполнение работ по оформлению прав в ЕГРН в отношении объектов муниципального имущества.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б) Реализация инфраструктурных проектов Республики Хакасия:</w:t>
      </w:r>
    </w:p>
    <w:p w:rsidR="002209BD" w:rsidRPr="007830AB" w:rsidRDefault="002209BD" w:rsidP="002209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- открытие в территориальном органе Федерального казначейства специального счета, на котором будут аккумулироваться средства по софинансированию части расходов и с которого будет осуществляться оплата работ и (или) услуг по созданию и (или) реконструкции объекта теплоснабжения;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 xml:space="preserve">- регистрация права собственности за </w:t>
      </w:r>
      <w:r w:rsidR="001021CA" w:rsidRPr="007830AB">
        <w:rPr>
          <w:rFonts w:ascii="Times New Roman" w:hAnsi="Times New Roman" w:cs="Times New Roman"/>
          <w:sz w:val="26"/>
          <w:szCs w:val="26"/>
        </w:rPr>
        <w:t>Усть-Абаканск</w:t>
      </w:r>
      <w:r w:rsidR="003611E3" w:rsidRPr="007830AB">
        <w:rPr>
          <w:rFonts w:ascii="Times New Roman" w:hAnsi="Times New Roman" w:cs="Times New Roman"/>
          <w:sz w:val="26"/>
          <w:szCs w:val="26"/>
        </w:rPr>
        <w:t>им</w:t>
      </w:r>
      <w:r w:rsidR="001021CA" w:rsidRPr="007830AB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3611E3" w:rsidRPr="007830AB">
        <w:rPr>
          <w:rFonts w:ascii="Times New Roman" w:hAnsi="Times New Roman" w:cs="Times New Roman"/>
          <w:sz w:val="26"/>
          <w:szCs w:val="26"/>
        </w:rPr>
        <w:t>ым районом</w:t>
      </w:r>
      <w:r w:rsidR="001021CA" w:rsidRPr="007830AB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7830AB">
        <w:rPr>
          <w:rFonts w:ascii="Times New Roman" w:hAnsi="Times New Roman" w:cs="Times New Roman"/>
          <w:sz w:val="26"/>
          <w:szCs w:val="26"/>
        </w:rPr>
        <w:t xml:space="preserve"> созданного и (или) реконструированного объекта теплоснабжения;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- создание и (или) реконструкция, ремонт объектов теплоснабжения;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- ввод в эксплуатацию объектов теплоснабжения;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- постановка на кадастровый учет объекта теплоснабжения.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 xml:space="preserve">Третья задача муниципальной программы «Формирование эффективной структуры собственности </w:t>
      </w:r>
      <w:r w:rsidR="009F596B" w:rsidRPr="007830AB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</w:t>
      </w:r>
      <w:r w:rsidRPr="007830AB">
        <w:rPr>
          <w:rFonts w:ascii="Times New Roman" w:hAnsi="Times New Roman" w:cs="Times New Roman"/>
          <w:sz w:val="26"/>
          <w:szCs w:val="26"/>
        </w:rPr>
        <w:t xml:space="preserve"> и создание условий для увеличения неналоговых платежей» будет решена путем выполнения мероприятия: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 xml:space="preserve">Обеспечение обслуживания, содержания и распоряжения муниципальной собственностью, в том числе совокупные поступления в бюджет </w:t>
      </w:r>
      <w:r w:rsidR="009F596B" w:rsidRPr="007830AB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</w:t>
      </w:r>
      <w:r w:rsidRPr="007830AB">
        <w:rPr>
          <w:rFonts w:ascii="Times New Roman" w:hAnsi="Times New Roman" w:cs="Times New Roman"/>
          <w:sz w:val="26"/>
          <w:szCs w:val="26"/>
        </w:rPr>
        <w:t>, полученные от использования муниципального имущества и земельных участков, вовлеченных в хозяйственный оборот, работа с недоимкой по арендной плате.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 xml:space="preserve">Четвертая задача муниципальной программы «Формирование, постановка на государственный кадастровый учет земельных участков, выкуп в муниципальную собственность земельных участков сельскохозяйственного назначения в соответствии с имеющимся преимущественным правом, для дальнейшего вовлечения указанных участков в хозяйственный оборот, а также постановка на </w:t>
      </w:r>
      <w:r w:rsidRPr="007830AB">
        <w:rPr>
          <w:rFonts w:ascii="Times New Roman" w:hAnsi="Times New Roman" w:cs="Times New Roman"/>
          <w:sz w:val="26"/>
          <w:szCs w:val="26"/>
        </w:rPr>
        <w:lastRenderedPageBreak/>
        <w:t>кадастровый учет земельных участков под автомобильными дорогами» будет решена за счет следующих мероприятий: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а) Мероприятия в сфере развития земельно-имущественных отношений, в том числе: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- организация и проведение работ по формированию и постановке на кадастровый учет земельных участков, в том числе под объектами дорожной инфраструктуры, тепловыми сетями, сетями водоснабжения и водоотведения;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- преимущественное право выкупа земельных участков сельскохозяйственного назначения;</w:t>
      </w:r>
    </w:p>
    <w:p w:rsidR="002209BD" w:rsidRPr="007830AB" w:rsidRDefault="002209BD" w:rsidP="002209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- проведение государственной историко-культурной экспертизы земельных участков;</w:t>
      </w:r>
    </w:p>
    <w:p w:rsidR="00402DDD" w:rsidRPr="007830AB" w:rsidRDefault="00402DDD" w:rsidP="00402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>б) Мероприятия по подготовке градостроительной документации, документов территориального планирования, правил землепользования и застройки, разработке документации по планировке территории в целях жилищного строительства, в рамках реализации государственной программы Республики Хакасия «Жилище», утвержденной постановлением Правительства Республики Хакасия от 27.10.2015 № 555 (с изменениями от 11.09.2024), в том числе:</w:t>
      </w:r>
    </w:p>
    <w:p w:rsidR="00402DDD" w:rsidRPr="007830AB" w:rsidRDefault="00402DDD" w:rsidP="00402D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>- выполнение работ по разработке градостроительной документации земельных участков, находящихся в собственности муниципального образования и земель, собственность на которые не разграничена;</w:t>
      </w:r>
    </w:p>
    <w:p w:rsidR="00402DDD" w:rsidRPr="007830AB" w:rsidRDefault="00402DDD" w:rsidP="00402D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>- приведение в соответствие документов территориального планирования и внесение в них изменений, а именно устранение реестровых ошибок;</w:t>
      </w:r>
    </w:p>
    <w:p w:rsidR="00402DDD" w:rsidRPr="007830AB" w:rsidRDefault="00402DDD" w:rsidP="00402D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>- подготовка проектов генеральных планов, проектов правил землепользования и застройки, описание границ территориальных зон сельсоветов;</w:t>
      </w:r>
    </w:p>
    <w:p w:rsidR="000E7010" w:rsidRPr="007830AB" w:rsidRDefault="00AA50A3" w:rsidP="00402D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3" w:name="_Hlk178674323"/>
      <w:r w:rsidRPr="007830A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402DDD" w:rsidRPr="007830AB">
        <w:rPr>
          <w:rFonts w:ascii="Times New Roman" w:eastAsia="Times New Roman" w:hAnsi="Times New Roman" w:cs="Times New Roman"/>
          <w:sz w:val="26"/>
          <w:szCs w:val="26"/>
        </w:rPr>
        <w:t>- разработка документации по планировке территории</w:t>
      </w:r>
      <w:bookmarkEnd w:id="3"/>
      <w:r w:rsidR="00402DDD" w:rsidRPr="007830A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02DDD" w:rsidRPr="007830AB" w:rsidRDefault="00402DDD" w:rsidP="00402D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E7010" w:rsidRPr="007830AB" w:rsidRDefault="000355BE" w:rsidP="000355BE">
      <w:pPr>
        <w:pStyle w:val="ad"/>
        <w:widowControl w:val="0"/>
        <w:autoSpaceDE w:val="0"/>
        <w:autoSpaceDN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b/>
          <w:sz w:val="26"/>
          <w:szCs w:val="26"/>
        </w:rPr>
        <w:t xml:space="preserve">2. </w:t>
      </w:r>
      <w:r w:rsidR="00B53604" w:rsidRPr="007830AB"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r w:rsidR="00FF3BF0" w:rsidRPr="007830AB">
        <w:rPr>
          <w:rFonts w:ascii="Times New Roman" w:eastAsia="Times New Roman" w:hAnsi="Times New Roman" w:cs="Times New Roman"/>
          <w:b/>
          <w:sz w:val="26"/>
          <w:szCs w:val="26"/>
        </w:rPr>
        <w:t>иск</w:t>
      </w:r>
      <w:r w:rsidR="00B53604" w:rsidRPr="007830AB">
        <w:rPr>
          <w:rFonts w:ascii="Times New Roman" w:eastAsia="Times New Roman" w:hAnsi="Times New Roman" w:cs="Times New Roman"/>
          <w:b/>
          <w:sz w:val="26"/>
          <w:szCs w:val="26"/>
        </w:rPr>
        <w:t>и</w:t>
      </w:r>
      <w:r w:rsidR="00FF3BF0" w:rsidRPr="007830AB">
        <w:rPr>
          <w:rFonts w:ascii="Times New Roman" w:eastAsia="Times New Roman" w:hAnsi="Times New Roman" w:cs="Times New Roman"/>
          <w:b/>
          <w:sz w:val="26"/>
          <w:szCs w:val="26"/>
        </w:rPr>
        <w:t xml:space="preserve"> реализации муниципальной программы</w:t>
      </w:r>
    </w:p>
    <w:p w:rsidR="000E7010" w:rsidRPr="007830AB" w:rsidRDefault="000E7010" w:rsidP="009B1F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E7010" w:rsidRPr="007830AB" w:rsidRDefault="00FF3BF0" w:rsidP="00B536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 xml:space="preserve">Реализация мероприятий муниципальной программы связана с различными рисками, обусловленными как внутренними факторами, так и внешними факторами, на которые оказать влияние не представляется возможным. </w:t>
      </w:r>
    </w:p>
    <w:p w:rsidR="00FF3BF0" w:rsidRPr="007830AB" w:rsidRDefault="00FF3BF0" w:rsidP="00B536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>К рискам муниципальной программы, обусловленным внешним</w:t>
      </w:r>
      <w:r w:rsidR="00287FF0" w:rsidRPr="007830AB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830AB">
        <w:rPr>
          <w:rFonts w:ascii="Times New Roman" w:eastAsia="Times New Roman" w:hAnsi="Times New Roman" w:cs="Times New Roman"/>
          <w:sz w:val="26"/>
          <w:szCs w:val="26"/>
        </w:rPr>
        <w:t xml:space="preserve"> факторами, относятся:</w:t>
      </w:r>
    </w:p>
    <w:p w:rsidR="000E7010" w:rsidRPr="007830AB" w:rsidRDefault="00FF3BF0" w:rsidP="00B536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 xml:space="preserve">- изменение федерального и республиканского законодательства, уменьшающие доходы и (или) увеличивающие расходы бюджета </w:t>
      </w:r>
      <w:r w:rsidR="009F596B" w:rsidRPr="007830AB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</w:t>
      </w:r>
      <w:r w:rsidRPr="007830AB">
        <w:rPr>
          <w:rFonts w:ascii="Times New Roman" w:eastAsia="Times New Roman" w:hAnsi="Times New Roman" w:cs="Times New Roman"/>
          <w:sz w:val="26"/>
          <w:szCs w:val="26"/>
        </w:rPr>
        <w:t xml:space="preserve"> в сфере реализации задач муниципальной программы;</w:t>
      </w:r>
    </w:p>
    <w:p w:rsidR="00FF3BF0" w:rsidRPr="007830AB" w:rsidRDefault="00FF3BF0" w:rsidP="00B536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 xml:space="preserve">- ухудшение внешней экономической ситуации, что может привести к снижению доходов, ухудшению динамики основных показателей, снижению </w:t>
      </w:r>
      <w:r w:rsidR="00C84647" w:rsidRPr="007830AB">
        <w:rPr>
          <w:rFonts w:ascii="Times New Roman" w:eastAsia="Times New Roman" w:hAnsi="Times New Roman" w:cs="Times New Roman"/>
          <w:sz w:val="26"/>
          <w:szCs w:val="26"/>
        </w:rPr>
        <w:t>темпов экономического роста, что, в свою очередь, может негативно сказаться на достижении заложенных в муниципальной программе целевых п</w:t>
      </w:r>
      <w:r w:rsidR="00B434B7" w:rsidRPr="007830AB">
        <w:rPr>
          <w:rFonts w:ascii="Times New Roman" w:eastAsia="Times New Roman" w:hAnsi="Times New Roman" w:cs="Times New Roman"/>
          <w:sz w:val="26"/>
          <w:szCs w:val="26"/>
        </w:rPr>
        <w:t>оказателей;</w:t>
      </w:r>
    </w:p>
    <w:p w:rsidR="00A303E9" w:rsidRPr="007830AB" w:rsidRDefault="00A303E9" w:rsidP="00B536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 xml:space="preserve">- изменение арендной платы вследствие пересмотра кадастровой стоимости объектов по заявлениям арендаторов, в том числе в судебном порядке </w:t>
      </w:r>
      <w:r w:rsidR="00AC49F9" w:rsidRPr="007830AB">
        <w:rPr>
          <w:rFonts w:ascii="Times New Roman" w:eastAsia="Times New Roman" w:hAnsi="Times New Roman" w:cs="Times New Roman"/>
          <w:sz w:val="26"/>
          <w:szCs w:val="26"/>
        </w:rPr>
        <w:t>приводящие к выпадающим доходам.</w:t>
      </w:r>
    </w:p>
    <w:p w:rsidR="00B434B7" w:rsidRPr="007830AB" w:rsidRDefault="00B434B7" w:rsidP="00B536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 xml:space="preserve">Важной задачей при управлении рисками является организация мер профилактики, направленных на предотвращение наступления рисковых ситуаций. </w:t>
      </w:r>
      <w:r w:rsidRPr="007830AB">
        <w:rPr>
          <w:rFonts w:ascii="Times New Roman" w:hAnsi="Times New Roman" w:cs="Times New Roman"/>
          <w:sz w:val="26"/>
          <w:szCs w:val="26"/>
        </w:rPr>
        <w:lastRenderedPageBreak/>
        <w:t>При наступлении рисковых ситуаций важно минимизировать степень влияния риска на достижение поставленных задач, осуществляя координацию ситуации.</w:t>
      </w:r>
    </w:p>
    <w:p w:rsidR="00112FCC" w:rsidRPr="007830AB" w:rsidRDefault="00112FCC" w:rsidP="00B536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В целях минимизации отрицательных последствий в процессе реализации муниципальной программы предусматриваются следующие меры управления указанными рисками, направленные на повышение уровня гарантированности достижения предусмотренных муниципальной программой конечных результатов:</w:t>
      </w:r>
    </w:p>
    <w:p w:rsidR="006D2325" w:rsidRPr="007830AB" w:rsidRDefault="006D2325" w:rsidP="00B536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>- систематический контроль достижения поставленных задач муниципальной программы;</w:t>
      </w:r>
    </w:p>
    <w:p w:rsidR="006D2325" w:rsidRPr="007830AB" w:rsidRDefault="006D2325" w:rsidP="00B536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>- проведение аналитических мероприятий;</w:t>
      </w:r>
    </w:p>
    <w:p w:rsidR="00112FCC" w:rsidRPr="007830AB" w:rsidRDefault="00112FCC" w:rsidP="00B536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>- оптимизация расходов, перераспределение объемов финансирования основных мероприятий муниципальной программы в зависимости от динамики и темпов решения задач муниципальной программы;</w:t>
      </w:r>
    </w:p>
    <w:p w:rsidR="00112FCC" w:rsidRPr="007830AB" w:rsidRDefault="00112FCC" w:rsidP="00B536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>- мониторинг хода выполнения основных мероприятий муниципальной программы, регулярный анализ и, при необходимости, корректировка показателей муниципальной программы;</w:t>
      </w:r>
    </w:p>
    <w:p w:rsidR="006D2325" w:rsidRPr="007830AB" w:rsidRDefault="006D2325" w:rsidP="00B536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>- постоянный контроль за поступлением платежей от использования имущества и земельных участков;</w:t>
      </w:r>
    </w:p>
    <w:p w:rsidR="006D2325" w:rsidRPr="007830AB" w:rsidRDefault="006D2325" w:rsidP="00B536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>-</w:t>
      </w:r>
      <w:r w:rsidR="00E50736" w:rsidRPr="007830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830AB">
        <w:rPr>
          <w:rFonts w:ascii="Times New Roman" w:eastAsia="Times New Roman" w:hAnsi="Times New Roman" w:cs="Times New Roman"/>
          <w:sz w:val="26"/>
          <w:szCs w:val="26"/>
        </w:rPr>
        <w:t>претензионно-исковая работа в отношении арендаторов-неплательщиков арендной платы</w:t>
      </w:r>
      <w:r w:rsidR="00AC49F9" w:rsidRPr="007830A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D2325" w:rsidRPr="007830AB" w:rsidRDefault="006D2325" w:rsidP="00B536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0AB">
        <w:rPr>
          <w:rFonts w:ascii="Times New Roman" w:eastAsia="Times New Roman" w:hAnsi="Times New Roman" w:cs="Times New Roman"/>
          <w:sz w:val="26"/>
          <w:szCs w:val="26"/>
        </w:rPr>
        <w:t>Управление рисками предполагается осуществлять на основе постоянного мониторинга хода реализации муниципальной программы и оперативного внесения необходимых изменений.</w:t>
      </w:r>
    </w:p>
    <w:p w:rsidR="00BA2F0C" w:rsidRPr="007830AB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923A8" w:rsidRPr="007830AB" w:rsidRDefault="00E923A8" w:rsidP="007D6527">
      <w:pPr>
        <w:pStyle w:val="ConsPlusNormal"/>
        <w:rPr>
          <w:rFonts w:ascii="Times New Roman" w:hAnsi="Times New Roman" w:cs="Times New Roman"/>
          <w:sz w:val="26"/>
          <w:szCs w:val="26"/>
        </w:rPr>
        <w:sectPr w:rsidR="00E923A8" w:rsidRPr="007830AB" w:rsidSect="00A729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4" w:name="Par608"/>
      <w:bookmarkEnd w:id="4"/>
    </w:p>
    <w:p w:rsidR="00BA2F0C" w:rsidRPr="007830AB" w:rsidRDefault="006D2325" w:rsidP="00117B29">
      <w:pPr>
        <w:pStyle w:val="ConsPlusNormal"/>
        <w:ind w:left="10206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1 </w:t>
      </w:r>
    </w:p>
    <w:p w:rsidR="00117B29" w:rsidRPr="007830AB" w:rsidRDefault="00B17AF4" w:rsidP="00117B29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к</w:t>
      </w:r>
      <w:r w:rsidR="006D2325" w:rsidRPr="007830AB">
        <w:rPr>
          <w:rFonts w:ascii="Times New Roman" w:hAnsi="Times New Roman" w:cs="Times New Roman"/>
          <w:sz w:val="26"/>
          <w:szCs w:val="26"/>
        </w:rPr>
        <w:t xml:space="preserve"> текстово</w:t>
      </w:r>
      <w:r w:rsidR="007D6527" w:rsidRPr="007830AB">
        <w:rPr>
          <w:rFonts w:ascii="Times New Roman" w:hAnsi="Times New Roman" w:cs="Times New Roman"/>
          <w:sz w:val="26"/>
          <w:szCs w:val="26"/>
        </w:rPr>
        <w:t xml:space="preserve">й части </w:t>
      </w:r>
    </w:p>
    <w:p w:rsidR="00117B29" w:rsidRPr="007830AB" w:rsidRDefault="007D6527" w:rsidP="00117B29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 xml:space="preserve">муниципальной программы  </w:t>
      </w:r>
    </w:p>
    <w:p w:rsidR="006D2325" w:rsidRPr="007830AB" w:rsidRDefault="006D2325" w:rsidP="00117B29">
      <w:pPr>
        <w:spacing w:after="0" w:line="240" w:lineRule="auto"/>
        <w:ind w:left="10206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830AB">
        <w:rPr>
          <w:rFonts w:ascii="Times New Roman" w:hAnsi="Times New Roman" w:cs="Times New Roman"/>
          <w:sz w:val="26"/>
          <w:szCs w:val="26"/>
        </w:rPr>
        <w:t>«</w:t>
      </w:r>
      <w:r w:rsidRPr="007830AB">
        <w:rPr>
          <w:rFonts w:ascii="Times New Roman" w:eastAsia="Calibri" w:hAnsi="Times New Roman" w:cs="Times New Roman"/>
          <w:sz w:val="26"/>
          <w:szCs w:val="26"/>
          <w:lang w:eastAsia="en-US"/>
        </w:rPr>
        <w:t>Развитие муниципального имущества</w:t>
      </w:r>
      <w:r w:rsidR="001A49DA" w:rsidRPr="007830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7830AB">
        <w:rPr>
          <w:rFonts w:ascii="Times New Roman" w:eastAsia="Calibri" w:hAnsi="Times New Roman" w:cs="Times New Roman"/>
          <w:sz w:val="26"/>
          <w:szCs w:val="26"/>
          <w:lang w:eastAsia="en-US"/>
        </w:rPr>
        <w:t>в Усть-Абаканском районе»</w:t>
      </w:r>
    </w:p>
    <w:p w:rsidR="006D2325" w:rsidRPr="007830AB" w:rsidRDefault="006D2325" w:rsidP="006D2325">
      <w:pPr>
        <w:pStyle w:val="ConsPlusNormal"/>
        <w:ind w:left="10773"/>
        <w:rPr>
          <w:rFonts w:ascii="Times New Roman" w:hAnsi="Times New Roman" w:cs="Times New Roman"/>
          <w:sz w:val="26"/>
          <w:szCs w:val="26"/>
        </w:rPr>
      </w:pPr>
    </w:p>
    <w:p w:rsidR="00BA2F0C" w:rsidRPr="007830AB" w:rsidRDefault="00BA2F0C" w:rsidP="00BA2F0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30AB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BA2F0C" w:rsidRPr="007830AB" w:rsidRDefault="00BA2F0C" w:rsidP="00BA2F0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30AB">
        <w:rPr>
          <w:rFonts w:ascii="Times New Roman" w:hAnsi="Times New Roman" w:cs="Times New Roman"/>
          <w:b/>
          <w:sz w:val="26"/>
          <w:szCs w:val="26"/>
        </w:rPr>
        <w:t>основных мероприятий муниципальной программы</w:t>
      </w:r>
    </w:p>
    <w:p w:rsidR="00BA2F0C" w:rsidRPr="007830AB" w:rsidRDefault="00BA2F0C" w:rsidP="00BA2F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46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2"/>
        <w:gridCol w:w="2126"/>
        <w:gridCol w:w="998"/>
        <w:gridCol w:w="1134"/>
        <w:gridCol w:w="2427"/>
        <w:gridCol w:w="3102"/>
        <w:gridCol w:w="1701"/>
      </w:tblGrid>
      <w:tr w:rsidR="00BA2F0C" w:rsidRPr="007830AB" w:rsidTr="001F6C79">
        <w:tc>
          <w:tcPr>
            <w:tcW w:w="2972" w:type="dxa"/>
            <w:vMerge w:val="restart"/>
          </w:tcPr>
          <w:p w:rsidR="00BA2F0C" w:rsidRPr="007830AB" w:rsidRDefault="00BA2F0C" w:rsidP="00B53604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2126" w:type="dxa"/>
            <w:vMerge w:val="restart"/>
          </w:tcPr>
          <w:p w:rsidR="00BA2F0C" w:rsidRPr="007830AB" w:rsidRDefault="00BA2F0C" w:rsidP="00B53604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соисполнитель, исполнитель</w:t>
            </w:r>
          </w:p>
        </w:tc>
        <w:tc>
          <w:tcPr>
            <w:tcW w:w="2132" w:type="dxa"/>
            <w:gridSpan w:val="2"/>
          </w:tcPr>
          <w:p w:rsidR="00BA2F0C" w:rsidRPr="007830AB" w:rsidRDefault="00BA2F0C" w:rsidP="00B53604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427" w:type="dxa"/>
            <w:vMerge w:val="restart"/>
          </w:tcPr>
          <w:p w:rsidR="00BA2F0C" w:rsidRPr="007830AB" w:rsidRDefault="00BA2F0C" w:rsidP="00B53604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Конечные результаты</w:t>
            </w:r>
          </w:p>
        </w:tc>
        <w:tc>
          <w:tcPr>
            <w:tcW w:w="3102" w:type="dxa"/>
            <w:vMerge w:val="restart"/>
          </w:tcPr>
          <w:p w:rsidR="00BA2F0C" w:rsidRPr="007830AB" w:rsidRDefault="00BA2F0C" w:rsidP="00B53604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582"/>
            <w:bookmarkEnd w:id="5"/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1701" w:type="dxa"/>
            <w:vMerge w:val="restart"/>
          </w:tcPr>
          <w:p w:rsidR="007D6527" w:rsidRPr="007830AB" w:rsidRDefault="00BA2F0C" w:rsidP="001F6C79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муниципальной программы </w:t>
            </w:r>
          </w:p>
          <w:p w:rsidR="00BA2F0C" w:rsidRPr="007830AB" w:rsidRDefault="00BA2F0C" w:rsidP="00B53604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</w:rPr>
              <w:t>(номер показателя, характеризующего результат реализации основного мероприятия)</w:t>
            </w:r>
          </w:p>
        </w:tc>
      </w:tr>
      <w:tr w:rsidR="00BA2F0C" w:rsidRPr="007830AB" w:rsidTr="001F6C79">
        <w:tc>
          <w:tcPr>
            <w:tcW w:w="2972" w:type="dxa"/>
            <w:vMerge/>
          </w:tcPr>
          <w:p w:rsidR="00BA2F0C" w:rsidRPr="007830AB" w:rsidRDefault="00BA2F0C" w:rsidP="00B536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A2F0C" w:rsidRPr="007830AB" w:rsidRDefault="00BA2F0C" w:rsidP="00B536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BA2F0C" w:rsidRPr="007830AB" w:rsidRDefault="00BA2F0C" w:rsidP="00B536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134" w:type="dxa"/>
          </w:tcPr>
          <w:p w:rsidR="00BA2F0C" w:rsidRPr="007830AB" w:rsidRDefault="00BA2F0C" w:rsidP="001F6C79">
            <w:pPr>
              <w:pStyle w:val="ConsPlusNormal"/>
              <w:ind w:left="-62" w:right="-62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окончание</w:t>
            </w:r>
          </w:p>
        </w:tc>
        <w:tc>
          <w:tcPr>
            <w:tcW w:w="2427" w:type="dxa"/>
            <w:vMerge/>
          </w:tcPr>
          <w:p w:rsidR="00BA2F0C" w:rsidRPr="007830AB" w:rsidRDefault="00BA2F0C" w:rsidP="00B536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vMerge/>
          </w:tcPr>
          <w:p w:rsidR="00BA2F0C" w:rsidRPr="007830AB" w:rsidRDefault="00BA2F0C" w:rsidP="00B536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A2F0C" w:rsidRPr="007830AB" w:rsidRDefault="00BA2F0C" w:rsidP="00B536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F0C" w:rsidRPr="007830AB" w:rsidTr="001F6C79">
        <w:tc>
          <w:tcPr>
            <w:tcW w:w="14460" w:type="dxa"/>
            <w:gridSpan w:val="7"/>
          </w:tcPr>
          <w:p w:rsidR="00BA2F0C" w:rsidRPr="007830AB" w:rsidRDefault="00BA2F0C" w:rsidP="004E7F77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="004E7F77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26AB0" w:rsidRPr="007830AB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муниципального имущества в Усть-Абаканском районе</w:t>
            </w:r>
            <w:r w:rsidR="004E7F77" w:rsidRPr="007830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A2F0C" w:rsidRPr="007830AB" w:rsidTr="001F6C79">
        <w:tc>
          <w:tcPr>
            <w:tcW w:w="2972" w:type="dxa"/>
          </w:tcPr>
          <w:p w:rsidR="00626AB0" w:rsidRPr="007830AB" w:rsidRDefault="00B17AF4" w:rsidP="00B5360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  <w:p w:rsidR="00BA2F0C" w:rsidRPr="007830AB" w:rsidRDefault="00B17AF4" w:rsidP="00B536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2618F" w:rsidRPr="007830AB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отрасли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BA2F0C" w:rsidRPr="007830AB" w:rsidRDefault="00626AB0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</w:t>
            </w:r>
            <w:r w:rsidR="00F21744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 </w:t>
            </w:r>
            <w:r w:rsidR="009F596B" w:rsidRPr="007830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9F596B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1A49DA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998" w:type="dxa"/>
          </w:tcPr>
          <w:p w:rsidR="00BA2F0C" w:rsidRPr="007830AB" w:rsidRDefault="00285FC5" w:rsidP="00B53604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F596B" w:rsidRPr="007830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A2F0C" w:rsidRPr="007830AB" w:rsidRDefault="00285FC5" w:rsidP="00B53604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F596B" w:rsidRPr="007830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7" w:type="dxa"/>
          </w:tcPr>
          <w:p w:rsidR="00BA2F0C" w:rsidRPr="007830AB" w:rsidRDefault="00112FCC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функций в сфере земельно-имущественных отношений</w:t>
            </w:r>
            <w:r w:rsidR="001F135D" w:rsidRPr="007830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399C" w:rsidRPr="007830AB" w:rsidRDefault="001F135D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поступлений в бюджет 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Усть-Абаканского 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Республики Хакасия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, полученных от использования муниципального имущества и земельных участков, вовлеченных в хозяйственный оборот.</w:t>
            </w:r>
          </w:p>
        </w:tc>
        <w:tc>
          <w:tcPr>
            <w:tcW w:w="3102" w:type="dxa"/>
          </w:tcPr>
          <w:p w:rsidR="001F135D" w:rsidRPr="007830AB" w:rsidRDefault="001F135D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Управления имущественных</w:t>
            </w:r>
            <w:r w:rsidR="00E13D54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 </w:t>
            </w:r>
            <w:r w:rsidR="009F596B" w:rsidRPr="007830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</w:t>
            </w:r>
            <w:r w:rsidR="00266429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9F596B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266429" w:rsidRPr="007830AB">
              <w:rPr>
                <w:rFonts w:ascii="Times New Roman" w:hAnsi="Times New Roman" w:cs="Times New Roman"/>
                <w:sz w:val="24"/>
                <w:szCs w:val="24"/>
              </w:rPr>
              <w:t>района Республики Хакасия.</w:t>
            </w:r>
          </w:p>
          <w:p w:rsidR="00B17AF4" w:rsidRPr="007830AB" w:rsidRDefault="001F6C79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17AF4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оздание нормативной правовой базы в целях </w:t>
            </w:r>
            <w:r w:rsidR="00B17AF4"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эффективного использования и распоряжения муниципальным имуществом и земельными участками</w:t>
            </w:r>
            <w:r w:rsidR="00266429" w:rsidRPr="007830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2F0C" w:rsidRPr="007830AB" w:rsidRDefault="00BA2F0C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A2F0C" w:rsidRPr="007830AB" w:rsidRDefault="00FC0FC0" w:rsidP="00B53604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0399C" w:rsidRPr="007830AB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443BBF" w:rsidRPr="007830AB" w:rsidTr="001F6C79">
        <w:tc>
          <w:tcPr>
            <w:tcW w:w="2972" w:type="dxa"/>
          </w:tcPr>
          <w:p w:rsidR="00443BBF" w:rsidRPr="007830AB" w:rsidRDefault="00443BBF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F50DBA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сновное мероприятие </w:t>
            </w:r>
            <w:r w:rsidR="004E7F77" w:rsidRPr="007830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43BBF" w:rsidRPr="007830AB" w:rsidRDefault="002655D1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объектами недвижимого имущества муниципальной собственности»</w:t>
            </w:r>
          </w:p>
        </w:tc>
        <w:tc>
          <w:tcPr>
            <w:tcW w:w="2126" w:type="dxa"/>
          </w:tcPr>
          <w:p w:rsidR="00443BBF" w:rsidRPr="007830AB" w:rsidRDefault="009F596B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Администрации Усть-Абаканского муниципального  района</w:t>
            </w:r>
            <w:r w:rsidR="001A49DA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998" w:type="dxa"/>
          </w:tcPr>
          <w:p w:rsidR="00443BBF" w:rsidRPr="007830AB" w:rsidRDefault="00443BBF" w:rsidP="00B53604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F596B" w:rsidRPr="007830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43BBF" w:rsidRPr="007830AB" w:rsidRDefault="00443BBF" w:rsidP="00B53604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F596B" w:rsidRPr="007830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7" w:type="dxa"/>
          </w:tcPr>
          <w:p w:rsidR="00E26202" w:rsidRPr="007830AB" w:rsidRDefault="00443BBF" w:rsidP="00E26202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 </w:t>
            </w:r>
            <w:r w:rsidR="008D7456" w:rsidRPr="007830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8D7456" w:rsidRPr="007830AB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дорожной инфраструктуры, тепловых сетей, сетей </w:t>
            </w:r>
            <w:r w:rsidR="00E26202" w:rsidRPr="007830AB">
              <w:rPr>
                <w:rFonts w:ascii="Times New Roman" w:hAnsi="Times New Roman" w:cs="Times New Roman"/>
                <w:sz w:val="24"/>
                <w:szCs w:val="24"/>
              </w:rPr>
              <w:t>водоснабжения и водоотведения.</w:t>
            </w:r>
          </w:p>
          <w:p w:rsidR="00443BBF" w:rsidRPr="007830AB" w:rsidRDefault="00443BBF" w:rsidP="008D7456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443BBF" w:rsidRPr="007830AB" w:rsidRDefault="00443BBF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работ по изготовлению технических паспортов, технических планов, постановка на государственный кадастровый учет объектов недвижимого муницип</w:t>
            </w:r>
            <w:r w:rsidR="00A303E9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ального имущества 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и его содержания. </w:t>
            </w:r>
          </w:p>
          <w:p w:rsidR="00443BBF" w:rsidRPr="007830AB" w:rsidRDefault="00443BBF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оценке рыночной стоимости арендной платы на объекты, подлежащие передаче в аренду</w:t>
            </w:r>
            <w:r w:rsidR="008D7456" w:rsidRPr="007830AB">
              <w:rPr>
                <w:rFonts w:ascii="Times New Roman" w:hAnsi="Times New Roman" w:cs="Times New Roman"/>
                <w:sz w:val="24"/>
                <w:szCs w:val="24"/>
              </w:rPr>
              <w:t>, а также земельных участков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, в том числе по оценке объектов, подлежащих реализации, а также содержания имущества.</w:t>
            </w:r>
          </w:p>
        </w:tc>
        <w:tc>
          <w:tcPr>
            <w:tcW w:w="1701" w:type="dxa"/>
            <w:shd w:val="clear" w:color="auto" w:fill="auto"/>
          </w:tcPr>
          <w:p w:rsidR="00443BBF" w:rsidRPr="007830AB" w:rsidRDefault="00FC0FC0" w:rsidP="00B53604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2FCC" w:rsidRPr="007830AB" w:rsidTr="001F6C79">
        <w:trPr>
          <w:trHeight w:val="1731"/>
        </w:trPr>
        <w:tc>
          <w:tcPr>
            <w:tcW w:w="2972" w:type="dxa"/>
          </w:tcPr>
          <w:p w:rsidR="00112FCC" w:rsidRPr="007830AB" w:rsidRDefault="00112FCC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  <w:r w:rsidR="004E7F77" w:rsidRPr="007830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12FCC" w:rsidRPr="007830AB" w:rsidRDefault="00112FCC" w:rsidP="004E7F77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«Эффективное использование и вовлечение в хозяйственный оборот земельных участков и иной недвижимости</w:t>
            </w:r>
            <w:r w:rsidR="004E7F77" w:rsidRPr="007830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112FCC" w:rsidRPr="007830AB" w:rsidRDefault="00112FCC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F21744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отношений 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Усть-Абаканского </w:t>
            </w:r>
            <w:r w:rsidR="001A49DA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1A49DA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  <w:p w:rsidR="00112FCC" w:rsidRPr="007830AB" w:rsidRDefault="00112FCC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112FCC" w:rsidRPr="007830AB" w:rsidRDefault="00112FCC" w:rsidP="00B53604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12FCC" w:rsidRPr="007830AB" w:rsidRDefault="00112FCC" w:rsidP="00B53604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2FCC" w:rsidRPr="007830AB" w:rsidRDefault="00112FCC" w:rsidP="00B53604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12FCC" w:rsidRPr="007830AB" w:rsidRDefault="00112FCC" w:rsidP="00B53604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1F135D" w:rsidRPr="007830AB" w:rsidRDefault="001F135D" w:rsidP="001F135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поставленных на кадастровый учет земельных участков, вовлекаемых в хозяйственный оборот, в том числе под объектами дорожной инфраструктуры, тепловыми сетями, сетями водоснабжения и водоотведения. </w:t>
            </w:r>
          </w:p>
          <w:p w:rsidR="001F135D" w:rsidRPr="007830AB" w:rsidRDefault="001F135D" w:rsidP="001F135D">
            <w:pPr>
              <w:pStyle w:val="ConsPlusNormal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E88" w:rsidRPr="007830AB" w:rsidRDefault="001F135D" w:rsidP="001F135D">
            <w:pPr>
              <w:pStyle w:val="ConsPlusNormal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с действующим законодательством документов территориального планирования.</w:t>
            </w:r>
          </w:p>
          <w:p w:rsidR="00112FCC" w:rsidRPr="007830AB" w:rsidRDefault="00112FCC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241E88" w:rsidRPr="007830AB" w:rsidRDefault="00112FCC" w:rsidP="00241E88">
            <w:pPr>
              <w:pStyle w:val="ConsPlusNormal"/>
              <w:ind w:left="63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работ по формированию постановки на кадастровый учет земельных участков, </w:t>
            </w:r>
            <w:r w:rsidR="00C23B74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в том </w:t>
            </w:r>
            <w:r w:rsidR="00241E88" w:rsidRPr="007830AB">
              <w:rPr>
                <w:rFonts w:ascii="Times New Roman" w:hAnsi="Times New Roman" w:cs="Times New Roman"/>
                <w:sz w:val="24"/>
                <w:szCs w:val="24"/>
              </w:rPr>
              <w:t>числе,</w:t>
            </w:r>
            <w:r w:rsidR="00C23B74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под объектами</w:t>
            </w:r>
            <w:r w:rsidR="001E2E5D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3B74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дорожной инфраструктуры, тепловыми сетями, сетями водоснабжения и водоотведения,</w:t>
            </w:r>
            <w:r w:rsidR="004D1056" w:rsidRPr="007830AB">
              <w:rPr>
                <w:rFonts w:ascii="Times New Roman" w:hAnsi="Times New Roman" w:cs="Times New Roman"/>
                <w:sz w:val="24"/>
                <w:szCs w:val="24"/>
              </w:rPr>
              <w:t>проведение межевых работ, технических планов.</w:t>
            </w:r>
          </w:p>
          <w:p w:rsidR="00241E88" w:rsidRPr="007830AB" w:rsidRDefault="004D1056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12FCC" w:rsidRPr="007830AB">
              <w:rPr>
                <w:rFonts w:ascii="Times New Roman" w:hAnsi="Times New Roman" w:cs="Times New Roman"/>
                <w:sz w:val="24"/>
                <w:szCs w:val="24"/>
              </w:rPr>
              <w:t>реимущественное право выкупа земельных участков се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льскохозяйственного назначения. </w:t>
            </w:r>
          </w:p>
          <w:p w:rsidR="00112FCC" w:rsidRPr="007830AB" w:rsidRDefault="004D1056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12FCC" w:rsidRPr="007830AB">
              <w:rPr>
                <w:rFonts w:ascii="Times New Roman" w:hAnsi="Times New Roman" w:cs="Times New Roman"/>
                <w:sz w:val="24"/>
                <w:szCs w:val="24"/>
              </w:rPr>
              <w:t>роведение государственной историко-культурной экспертизы земельных участков.</w:t>
            </w:r>
          </w:p>
          <w:p w:rsidR="008D7456" w:rsidRPr="007830AB" w:rsidRDefault="00112FCC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разработке градостроитель</w:t>
            </w:r>
            <w:r w:rsidR="00C23B74" w:rsidRPr="007830AB">
              <w:rPr>
                <w:rFonts w:ascii="Times New Roman" w:hAnsi="Times New Roman" w:cs="Times New Roman"/>
                <w:sz w:val="24"/>
                <w:szCs w:val="24"/>
              </w:rPr>
              <w:t>ной документации:</w:t>
            </w:r>
          </w:p>
          <w:p w:rsidR="00112FCC" w:rsidRPr="007830AB" w:rsidRDefault="00112FCC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- приведение в соответствие документов территориального планирования и внесение в них изменений, а именно устранение реестровых ошибок;</w:t>
            </w:r>
          </w:p>
          <w:p w:rsidR="00112FCC" w:rsidRPr="007830AB" w:rsidRDefault="00112FCC" w:rsidP="00B53604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подготовка проектов генеральных планов, 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проектов землепользования и застройки, описание границ территориальных зон сельсоветов.</w:t>
            </w:r>
          </w:p>
        </w:tc>
        <w:tc>
          <w:tcPr>
            <w:tcW w:w="1701" w:type="dxa"/>
            <w:shd w:val="clear" w:color="auto" w:fill="auto"/>
          </w:tcPr>
          <w:p w:rsidR="00112FCC" w:rsidRPr="007830AB" w:rsidRDefault="00FC0FC0" w:rsidP="00B53604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4,5</w:t>
            </w:r>
          </w:p>
        </w:tc>
      </w:tr>
      <w:tr w:rsidR="004E7F77" w:rsidRPr="007830AB" w:rsidTr="001F6C79">
        <w:tc>
          <w:tcPr>
            <w:tcW w:w="2972" w:type="dxa"/>
          </w:tcPr>
          <w:p w:rsidR="004E7F77" w:rsidRPr="007830AB" w:rsidRDefault="004E7F77" w:rsidP="004E7F77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4. «Обеспечение обслуживания, содержания и распоряжения муниципальной собственностью»</w:t>
            </w:r>
          </w:p>
        </w:tc>
        <w:tc>
          <w:tcPr>
            <w:tcW w:w="2126" w:type="dxa"/>
          </w:tcPr>
          <w:p w:rsidR="004E7F77" w:rsidRPr="007830AB" w:rsidRDefault="004E7F77" w:rsidP="00E26202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F21744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отношений 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1A49DA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998" w:type="dxa"/>
          </w:tcPr>
          <w:p w:rsidR="004E7F77" w:rsidRPr="007830AB" w:rsidRDefault="004E7F77" w:rsidP="00E26202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E7F77" w:rsidRPr="007830AB" w:rsidRDefault="004E7F77" w:rsidP="00E26202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7" w:type="dxa"/>
          </w:tcPr>
          <w:p w:rsidR="00F07B5F" w:rsidRPr="007830AB" w:rsidRDefault="00F07B5F" w:rsidP="00FA2B43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Увеличение доли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с учетом объектов дорожной инфраструктуры, тепловых сетей, сетей водоснабжения и водоотведения.</w:t>
            </w:r>
          </w:p>
          <w:p w:rsidR="00F07B5F" w:rsidRPr="007830AB" w:rsidRDefault="00F07B5F" w:rsidP="00FA2B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поступлений в бюджет 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Усть-Абаканского муниципального района Республики 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Хакасия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, полученных от использования муниципального имущества и земельных участков, вовлеченных в хозяйственный оборот.</w:t>
            </w:r>
          </w:p>
          <w:p w:rsidR="004E7F77" w:rsidRPr="007830AB" w:rsidRDefault="00F07B5F" w:rsidP="00FA2B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поставленных на кадастровый учет земельных участков, вовлекаемых в хозяйственный оборот, в том числе под объектами дорожной инфраструктуры, тепловыми сетями, сетями водоснабжения и водоотведения. </w:t>
            </w:r>
          </w:p>
        </w:tc>
        <w:tc>
          <w:tcPr>
            <w:tcW w:w="3102" w:type="dxa"/>
          </w:tcPr>
          <w:p w:rsidR="001F135D" w:rsidRPr="007830AB" w:rsidRDefault="004E7F77" w:rsidP="00E26202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полномочий собственника, в том числе выполнение обязательств в отношении расходов по содержанию муниципального имущества. </w:t>
            </w:r>
          </w:p>
          <w:p w:rsidR="004E7F77" w:rsidRPr="007830AB" w:rsidRDefault="004E7F77" w:rsidP="00E26202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обслуживания, содержания и распоряжения муниципальным имуществом. </w:t>
            </w:r>
          </w:p>
          <w:p w:rsidR="004E7F77" w:rsidRPr="007830AB" w:rsidRDefault="004E7F77" w:rsidP="00E26202">
            <w:pPr>
              <w:pStyle w:val="ConsPlusNormal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Для повышения эффективности использования недвижимости, находящейся в муниципальной собственности, необходимо содержать и ремонтировать муниципальное имущество, для его поддержания в безаварийном и технически исправном состоянии (коммунальные услуги, работы и услуги по 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</w:t>
            </w:r>
            <w:r w:rsidR="004D1056" w:rsidRPr="007830AB">
              <w:rPr>
                <w:rFonts w:ascii="Times New Roman" w:hAnsi="Times New Roman" w:cs="Times New Roman"/>
                <w:sz w:val="24"/>
                <w:szCs w:val="24"/>
              </w:rPr>
              <w:t>жанию муниципального имущества), уборка, очистка от мусора территорий муниципального имущества. Противопожарные мероприятия (опашка земельных участков муниципальной собственности, скос травы).</w:t>
            </w:r>
          </w:p>
        </w:tc>
        <w:tc>
          <w:tcPr>
            <w:tcW w:w="1701" w:type="dxa"/>
            <w:shd w:val="clear" w:color="auto" w:fill="auto"/>
          </w:tcPr>
          <w:p w:rsidR="004E7F77" w:rsidRPr="007830AB" w:rsidRDefault="00287FF0" w:rsidP="00E26202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B6E3C" w:rsidRPr="007830AB">
              <w:rPr>
                <w:rFonts w:ascii="Times New Roman" w:hAnsi="Times New Roman" w:cs="Times New Roman"/>
                <w:sz w:val="24"/>
                <w:szCs w:val="24"/>
              </w:rPr>
              <w:t>, 3 ,4</w:t>
            </w:r>
          </w:p>
        </w:tc>
      </w:tr>
      <w:tr w:rsidR="002209BD" w:rsidRPr="007830AB" w:rsidTr="001F6C79">
        <w:tc>
          <w:tcPr>
            <w:tcW w:w="2972" w:type="dxa"/>
          </w:tcPr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5</w:t>
            </w:r>
          </w:p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«Реализация инфраструктурных проектов Республики Хакасия»</w:t>
            </w:r>
          </w:p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имущественных </w:t>
            </w:r>
            <w:r w:rsidR="00F21744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отношений 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1A49DA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998" w:type="dxa"/>
          </w:tcPr>
          <w:p w:rsidR="002209BD" w:rsidRPr="007830AB" w:rsidRDefault="002209BD" w:rsidP="002209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209BD" w:rsidRPr="007830AB" w:rsidRDefault="002209BD" w:rsidP="002209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7" w:type="dxa"/>
          </w:tcPr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объектов недвижимого имущества, внесенных в реестр муниципального имущества, по которым осуществлена государственная 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регистрация права муниципальной собственности с учетом объектов дорожной инфраструктуры, тепловых сетей, сетей водоснабжения и водоотведения.</w:t>
            </w:r>
          </w:p>
        </w:tc>
        <w:tc>
          <w:tcPr>
            <w:tcW w:w="3102" w:type="dxa"/>
          </w:tcPr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Открытие в территориальном органе Федерального казначейства специального счета, на котором будут аккумулироваться средства по софинансированию части расходов и с которого будет осуществляться оплата работ и (или) услуг по 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созданию и (или) реконструкции объекта теплоснабжения.</w:t>
            </w:r>
          </w:p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права собственности за 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>Усть-Абаканск</w:t>
            </w:r>
            <w:r w:rsidR="001A49DA" w:rsidRPr="007830AB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1A49DA" w:rsidRPr="007830AB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1A49DA" w:rsidRPr="007830AB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6F3DB5" w:rsidRPr="007830A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 </w:t>
            </w:r>
            <w:r w:rsidRPr="007830AB">
              <w:rPr>
                <w:rFonts w:ascii="Times New Roman" w:hAnsi="Times New Roman" w:cs="Times New Roman"/>
                <w:sz w:val="24"/>
                <w:szCs w:val="24"/>
              </w:rPr>
              <w:t>созданного и (или) реконструированного объекта теплоснабжения.</w:t>
            </w:r>
          </w:p>
          <w:p w:rsidR="002209BD" w:rsidRPr="007830AB" w:rsidRDefault="002209BD" w:rsidP="002209BD">
            <w:pPr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Создание и (или) реконструкция, ремонт объектов теплоснабжения.</w:t>
            </w:r>
          </w:p>
          <w:p w:rsidR="002209BD" w:rsidRPr="007830AB" w:rsidRDefault="002209BD" w:rsidP="002209BD">
            <w:pPr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Ввод в эксплуатацию объектов теплоснабжения;</w:t>
            </w:r>
          </w:p>
          <w:p w:rsidR="002209BD" w:rsidRPr="007830AB" w:rsidRDefault="002209BD" w:rsidP="002209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Постановка на кадастровый учет объекта теплоснабжения.</w:t>
            </w:r>
          </w:p>
        </w:tc>
        <w:tc>
          <w:tcPr>
            <w:tcW w:w="1701" w:type="dxa"/>
            <w:shd w:val="clear" w:color="auto" w:fill="auto"/>
          </w:tcPr>
          <w:p w:rsidR="002209BD" w:rsidRPr="007830AB" w:rsidRDefault="002209BD" w:rsidP="002209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</w:tbl>
    <w:p w:rsidR="004E7F77" w:rsidRPr="007830AB" w:rsidRDefault="004E7F77" w:rsidP="00BA2F0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41E88" w:rsidRPr="007830AB" w:rsidRDefault="00241E88" w:rsidP="00BA2F0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41E88" w:rsidRPr="007830AB" w:rsidRDefault="00241E88" w:rsidP="00BA2F0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41E88" w:rsidRPr="007830AB" w:rsidRDefault="00241E88" w:rsidP="00BA2F0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87FF0" w:rsidRPr="007830AB" w:rsidRDefault="00287FF0" w:rsidP="006F3DB5">
      <w:pPr>
        <w:pStyle w:val="ConsPlusNormal"/>
        <w:tabs>
          <w:tab w:val="left" w:pos="7864"/>
        </w:tabs>
        <w:outlineLvl w:val="1"/>
        <w:rPr>
          <w:rFonts w:ascii="Times New Roman" w:hAnsi="Times New Roman" w:cs="Times New Roman"/>
          <w:sz w:val="26"/>
          <w:szCs w:val="26"/>
        </w:rPr>
      </w:pPr>
    </w:p>
    <w:p w:rsidR="006F3DB5" w:rsidRPr="007830AB" w:rsidRDefault="006F3DB5" w:rsidP="006F3DB5">
      <w:pPr>
        <w:pStyle w:val="ConsPlusNormal"/>
        <w:tabs>
          <w:tab w:val="left" w:pos="7864"/>
        </w:tabs>
        <w:outlineLvl w:val="1"/>
        <w:rPr>
          <w:rFonts w:ascii="Times New Roman" w:hAnsi="Times New Roman" w:cs="Times New Roman"/>
          <w:sz w:val="26"/>
          <w:szCs w:val="26"/>
        </w:rPr>
      </w:pPr>
    </w:p>
    <w:p w:rsidR="0037543D" w:rsidRPr="007830AB" w:rsidRDefault="0037543D" w:rsidP="006F3DB5">
      <w:pPr>
        <w:pStyle w:val="ConsPlusNormal"/>
        <w:tabs>
          <w:tab w:val="left" w:pos="7864"/>
        </w:tabs>
        <w:outlineLvl w:val="1"/>
        <w:rPr>
          <w:rFonts w:ascii="Times New Roman" w:hAnsi="Times New Roman" w:cs="Times New Roman"/>
          <w:sz w:val="26"/>
          <w:szCs w:val="26"/>
        </w:rPr>
      </w:pPr>
    </w:p>
    <w:p w:rsidR="0037543D" w:rsidRPr="007830AB" w:rsidRDefault="0037543D" w:rsidP="006F3DB5">
      <w:pPr>
        <w:pStyle w:val="ConsPlusNormal"/>
        <w:tabs>
          <w:tab w:val="left" w:pos="7864"/>
        </w:tabs>
        <w:outlineLvl w:val="1"/>
        <w:rPr>
          <w:rFonts w:ascii="Times New Roman" w:hAnsi="Times New Roman" w:cs="Times New Roman"/>
          <w:sz w:val="26"/>
          <w:szCs w:val="26"/>
        </w:rPr>
      </w:pPr>
    </w:p>
    <w:p w:rsidR="00C56FF4" w:rsidRDefault="00C56FF4" w:rsidP="004E7F77">
      <w:pPr>
        <w:pStyle w:val="ConsPlusNormal"/>
        <w:ind w:left="10206"/>
        <w:outlineLvl w:val="1"/>
        <w:rPr>
          <w:rFonts w:ascii="Times New Roman" w:hAnsi="Times New Roman" w:cs="Times New Roman"/>
          <w:sz w:val="26"/>
          <w:szCs w:val="26"/>
        </w:rPr>
      </w:pPr>
      <w:bookmarkStart w:id="6" w:name="_Toc97013674"/>
    </w:p>
    <w:p w:rsidR="00C56FF4" w:rsidRDefault="00C56FF4" w:rsidP="004E7F77">
      <w:pPr>
        <w:pStyle w:val="ConsPlusNormal"/>
        <w:ind w:left="10206"/>
        <w:outlineLvl w:val="1"/>
        <w:rPr>
          <w:rFonts w:ascii="Times New Roman" w:hAnsi="Times New Roman" w:cs="Times New Roman"/>
          <w:sz w:val="26"/>
          <w:szCs w:val="26"/>
        </w:rPr>
      </w:pPr>
    </w:p>
    <w:p w:rsidR="00C56FF4" w:rsidRDefault="00C56FF4" w:rsidP="004E7F77">
      <w:pPr>
        <w:pStyle w:val="ConsPlusNormal"/>
        <w:ind w:left="10206"/>
        <w:outlineLvl w:val="1"/>
        <w:rPr>
          <w:rFonts w:ascii="Times New Roman" w:hAnsi="Times New Roman" w:cs="Times New Roman"/>
          <w:sz w:val="26"/>
          <w:szCs w:val="26"/>
        </w:rPr>
      </w:pPr>
    </w:p>
    <w:p w:rsidR="00C56FF4" w:rsidRDefault="00C56FF4" w:rsidP="004E7F77">
      <w:pPr>
        <w:pStyle w:val="ConsPlusNormal"/>
        <w:ind w:left="10206"/>
        <w:outlineLvl w:val="1"/>
        <w:rPr>
          <w:rFonts w:ascii="Times New Roman" w:hAnsi="Times New Roman" w:cs="Times New Roman"/>
          <w:sz w:val="26"/>
          <w:szCs w:val="26"/>
        </w:rPr>
      </w:pPr>
    </w:p>
    <w:p w:rsidR="00C56FF4" w:rsidRDefault="00C56FF4" w:rsidP="004E7F77">
      <w:pPr>
        <w:pStyle w:val="ConsPlusNormal"/>
        <w:ind w:left="10206"/>
        <w:outlineLvl w:val="1"/>
        <w:rPr>
          <w:rFonts w:ascii="Times New Roman" w:hAnsi="Times New Roman" w:cs="Times New Roman"/>
          <w:sz w:val="26"/>
          <w:szCs w:val="26"/>
        </w:rPr>
      </w:pPr>
    </w:p>
    <w:p w:rsidR="00C56FF4" w:rsidRDefault="00C56FF4" w:rsidP="004E7F77">
      <w:pPr>
        <w:pStyle w:val="ConsPlusNormal"/>
        <w:ind w:left="10206"/>
        <w:outlineLvl w:val="1"/>
        <w:rPr>
          <w:rFonts w:ascii="Times New Roman" w:hAnsi="Times New Roman" w:cs="Times New Roman"/>
          <w:sz w:val="26"/>
          <w:szCs w:val="26"/>
        </w:rPr>
      </w:pPr>
    </w:p>
    <w:p w:rsidR="004E7F77" w:rsidRPr="007830AB" w:rsidRDefault="004E7F77" w:rsidP="004E7F77">
      <w:pPr>
        <w:pStyle w:val="ConsPlusNormal"/>
        <w:ind w:left="10206"/>
        <w:outlineLvl w:val="1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bookmarkEnd w:id="6"/>
      <w:r w:rsidRPr="007830AB">
        <w:rPr>
          <w:rFonts w:ascii="Times New Roman" w:hAnsi="Times New Roman" w:cs="Times New Roman"/>
          <w:sz w:val="26"/>
          <w:szCs w:val="26"/>
        </w:rPr>
        <w:t>2</w:t>
      </w:r>
    </w:p>
    <w:p w:rsidR="004E7F77" w:rsidRPr="007830AB" w:rsidRDefault="004E7F77" w:rsidP="004E7F77">
      <w:pPr>
        <w:pStyle w:val="ConsPlusNormal"/>
        <w:ind w:left="10206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 xml:space="preserve">к текстовой части </w:t>
      </w:r>
    </w:p>
    <w:p w:rsidR="004E7F77" w:rsidRPr="007830AB" w:rsidRDefault="004E7F77" w:rsidP="004E7F77">
      <w:pPr>
        <w:pStyle w:val="ConsPlusNormal"/>
        <w:ind w:left="10206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4E7F77" w:rsidRPr="007830AB" w:rsidRDefault="004E7F77" w:rsidP="004E7F77">
      <w:pPr>
        <w:pStyle w:val="ConsPlusNormal"/>
        <w:ind w:left="10206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«Развитие муниципального имущества в Усть-Абаканском районе»</w:t>
      </w:r>
    </w:p>
    <w:p w:rsidR="004E7F77" w:rsidRPr="007830AB" w:rsidRDefault="004E7F77" w:rsidP="004E7F77">
      <w:pPr>
        <w:pStyle w:val="ConsPlusNormal"/>
        <w:ind w:firstLine="6379"/>
        <w:rPr>
          <w:rFonts w:ascii="Times New Roman" w:hAnsi="Times New Roman" w:cs="Times New Roman"/>
          <w:sz w:val="26"/>
          <w:szCs w:val="26"/>
        </w:rPr>
      </w:pPr>
    </w:p>
    <w:p w:rsidR="004E7F77" w:rsidRPr="007830AB" w:rsidRDefault="004E7F77" w:rsidP="004E7F7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30AB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4E7F77" w:rsidRPr="007830AB" w:rsidRDefault="004E7F77" w:rsidP="004E7F7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30AB">
        <w:rPr>
          <w:rFonts w:ascii="Times New Roman" w:hAnsi="Times New Roman" w:cs="Times New Roman"/>
          <w:b/>
          <w:sz w:val="26"/>
          <w:szCs w:val="26"/>
        </w:rPr>
        <w:t>показателей муниципальной программы</w:t>
      </w:r>
    </w:p>
    <w:p w:rsidR="004E7F77" w:rsidRPr="007830AB" w:rsidRDefault="004E7F77" w:rsidP="004E7F7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747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6"/>
        <w:gridCol w:w="6177"/>
        <w:gridCol w:w="1276"/>
        <w:gridCol w:w="1134"/>
        <w:gridCol w:w="1136"/>
        <w:gridCol w:w="1134"/>
        <w:gridCol w:w="1134"/>
        <w:gridCol w:w="1134"/>
        <w:gridCol w:w="1136"/>
      </w:tblGrid>
      <w:tr w:rsidR="004E7F77" w:rsidRPr="007830AB" w:rsidTr="00075918">
        <w:trPr>
          <w:trHeight w:val="253"/>
        </w:trPr>
        <w:tc>
          <w:tcPr>
            <w:tcW w:w="486" w:type="dxa"/>
            <w:vMerge w:val="restart"/>
            <w:vAlign w:val="center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177" w:type="dxa"/>
            <w:vMerge w:val="restart"/>
            <w:vAlign w:val="center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8084" w:type="dxa"/>
            <w:gridSpan w:val="7"/>
            <w:vAlign w:val="center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Значения показателя по годам</w:t>
            </w:r>
          </w:p>
        </w:tc>
      </w:tr>
      <w:tr w:rsidR="004E7F77" w:rsidRPr="007830AB" w:rsidTr="00075918">
        <w:tc>
          <w:tcPr>
            <w:tcW w:w="486" w:type="dxa"/>
            <w:vMerge/>
            <w:vAlign w:val="center"/>
          </w:tcPr>
          <w:p w:rsidR="004E7F77" w:rsidRPr="007830AB" w:rsidRDefault="004E7F77" w:rsidP="00282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77" w:type="dxa"/>
            <w:vMerge/>
            <w:vAlign w:val="center"/>
          </w:tcPr>
          <w:p w:rsidR="004E7F77" w:rsidRPr="007830AB" w:rsidRDefault="004E7F77" w:rsidP="00282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Базовый 202</w:t>
            </w:r>
            <w:r w:rsidR="00075918" w:rsidRPr="007830A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4E7F77" w:rsidRPr="007830AB" w:rsidRDefault="004E7F77" w:rsidP="00282CE9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6F3DB5" w:rsidRPr="007830A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E7F77" w:rsidRPr="007830AB" w:rsidRDefault="004E7F77" w:rsidP="00282CE9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136" w:type="dxa"/>
            <w:vAlign w:val="center"/>
          </w:tcPr>
          <w:p w:rsidR="004E7F77" w:rsidRPr="007830AB" w:rsidRDefault="004E7F77" w:rsidP="00282CE9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6F3DB5" w:rsidRPr="007830A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4E7F77" w:rsidRPr="007830AB" w:rsidRDefault="004E7F77" w:rsidP="00282CE9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134" w:type="dxa"/>
            <w:vAlign w:val="center"/>
          </w:tcPr>
          <w:p w:rsidR="004E7F77" w:rsidRPr="007830AB" w:rsidRDefault="004E7F77" w:rsidP="00282CE9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6F3DB5" w:rsidRPr="007830A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E7F77" w:rsidRPr="007830AB" w:rsidRDefault="004E7F77" w:rsidP="00282CE9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134" w:type="dxa"/>
            <w:vAlign w:val="center"/>
          </w:tcPr>
          <w:p w:rsidR="004E7F77" w:rsidRPr="007830AB" w:rsidRDefault="004E7F77" w:rsidP="00282CE9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6F3DB5" w:rsidRPr="007830A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E7F77" w:rsidRPr="007830AB" w:rsidRDefault="004E7F77" w:rsidP="00282CE9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134" w:type="dxa"/>
            <w:vAlign w:val="center"/>
          </w:tcPr>
          <w:p w:rsidR="004E7F77" w:rsidRPr="007830AB" w:rsidRDefault="004E7F77" w:rsidP="00282CE9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6F3DB5" w:rsidRPr="007830A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E7F77" w:rsidRPr="007830AB" w:rsidRDefault="004E7F77" w:rsidP="00282CE9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134" w:type="dxa"/>
            <w:vAlign w:val="center"/>
          </w:tcPr>
          <w:p w:rsidR="004E7F77" w:rsidRPr="007830AB" w:rsidRDefault="004E7F77" w:rsidP="00282CE9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5F0CC6" w:rsidRPr="007830A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E7F77" w:rsidRPr="007830AB" w:rsidRDefault="004E7F77" w:rsidP="00282CE9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4E7F77" w:rsidRPr="007830AB" w:rsidTr="00075918">
        <w:trPr>
          <w:trHeight w:val="180"/>
        </w:trPr>
        <w:tc>
          <w:tcPr>
            <w:tcW w:w="486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77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6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4E7F77" w:rsidRPr="007830AB" w:rsidTr="00075918">
        <w:tc>
          <w:tcPr>
            <w:tcW w:w="486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261" w:type="dxa"/>
            <w:gridSpan w:val="8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="00282CE9" w:rsidRPr="007830A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Развитие муниципального имущества в Усть-Абаканском районе</w:t>
            </w:r>
            <w:r w:rsidR="00282CE9" w:rsidRPr="007830A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4E7F77" w:rsidRPr="007830AB" w:rsidTr="00075918">
        <w:tc>
          <w:tcPr>
            <w:tcW w:w="486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261" w:type="dxa"/>
            <w:gridSpan w:val="8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Задача 1</w:t>
            </w:r>
            <w:r w:rsidR="001F135D" w:rsidRPr="007830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Создание условий для повышения эффективности качества управления муниципальным имуществом</w:t>
            </w:r>
            <w:r w:rsidR="001F135D" w:rsidRPr="007830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E7F77" w:rsidRPr="007830AB" w:rsidTr="00075918">
        <w:tc>
          <w:tcPr>
            <w:tcW w:w="486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177" w:type="dxa"/>
          </w:tcPr>
          <w:p w:rsidR="00282CE9" w:rsidRPr="007830AB" w:rsidRDefault="00282CE9" w:rsidP="00282CE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Показатель 1</w:t>
            </w:r>
            <w:r w:rsidR="001F135D" w:rsidRPr="007830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E7F77" w:rsidRPr="007830AB" w:rsidRDefault="008F463A" w:rsidP="008F463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Доля исполненных в срок поручений Главы </w:t>
            </w:r>
            <w:r w:rsidR="0086437F"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</w:t>
            </w:r>
            <w:r w:rsidR="006F3DB5"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 w:rsidR="004E7F77" w:rsidRPr="007830AB">
              <w:rPr>
                <w:rFonts w:ascii="Times New Roman" w:hAnsi="Times New Roman" w:cs="Times New Roman"/>
                <w:sz w:val="26"/>
                <w:szCs w:val="26"/>
              </w:rPr>
              <w:t>в сфере земельно-имущественных отношений</w:t>
            </w:r>
            <w:r w:rsidR="001F135D" w:rsidRPr="007830A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E7F77"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(%)</w:t>
            </w:r>
            <w:r w:rsidR="001F135D" w:rsidRPr="007830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6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4E7F77" w:rsidRPr="007830AB" w:rsidTr="00075918">
        <w:tc>
          <w:tcPr>
            <w:tcW w:w="486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261" w:type="dxa"/>
            <w:gridSpan w:val="8"/>
          </w:tcPr>
          <w:p w:rsidR="004E7F77" w:rsidRPr="007830AB" w:rsidRDefault="004E7F77" w:rsidP="000A4F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Задача 2. Инвентаризация, регистрация, оценка и корректировка реестра муниципального имущества для создания условий эффективного его использования, а также содержание муниципального имущества</w:t>
            </w:r>
            <w:r w:rsidR="001F135D" w:rsidRPr="007830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E7F77" w:rsidRPr="007830AB" w:rsidTr="00075918">
        <w:tc>
          <w:tcPr>
            <w:tcW w:w="486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177" w:type="dxa"/>
          </w:tcPr>
          <w:p w:rsidR="004E7F77" w:rsidRPr="007830AB" w:rsidRDefault="004E7F77" w:rsidP="00282CE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Показатель 2</w:t>
            </w:r>
            <w:r w:rsidR="001F135D" w:rsidRPr="007830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E7F77" w:rsidRPr="007830AB" w:rsidRDefault="0040399C" w:rsidP="0086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Доля</w:t>
            </w:r>
            <w:r w:rsidR="004E7F77"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недвижимого имущества, внесенных в реестр муниципального имущества, по которым осуществлена государственная регистрация права </w:t>
            </w:r>
            <w:r w:rsidR="004E7F77" w:rsidRPr="007830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муниципальной собственности 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4E7F77" w:rsidRPr="007830AB">
              <w:rPr>
                <w:rFonts w:ascii="Times New Roman" w:hAnsi="Times New Roman" w:cs="Times New Roman"/>
                <w:sz w:val="26"/>
                <w:szCs w:val="26"/>
              </w:rPr>
              <w:t>учет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4E7F77"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дорожной инфраструктуры, тепловых сетей, сетей водоснабжения и водо</w:t>
            </w:r>
            <w:r w:rsidR="00241E88" w:rsidRPr="007830AB">
              <w:rPr>
                <w:rFonts w:ascii="Times New Roman" w:hAnsi="Times New Roman" w:cs="Times New Roman"/>
                <w:sz w:val="26"/>
                <w:szCs w:val="26"/>
              </w:rPr>
              <w:t>отведения</w:t>
            </w:r>
            <w:r w:rsidR="0086437F"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1F135D" w:rsidRPr="007830AB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4E7F77" w:rsidRPr="007830AB">
              <w:rPr>
                <w:rFonts w:ascii="Times New Roman" w:hAnsi="Times New Roman" w:cs="Times New Roman"/>
                <w:sz w:val="26"/>
                <w:szCs w:val="26"/>
              </w:rPr>
              <w:t>%</w:t>
            </w:r>
            <w:r w:rsidR="001F135D" w:rsidRPr="007830A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4E7F77" w:rsidRPr="007830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4E7F77" w:rsidRPr="007830AB" w:rsidRDefault="007679C5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86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1B1642" w:rsidRPr="007830A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6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1B1642" w:rsidRPr="007830A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1B1642" w:rsidRPr="007830A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1B1642" w:rsidRPr="007830A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</w:tcPr>
          <w:p w:rsidR="004E7F77" w:rsidRPr="007830AB" w:rsidRDefault="001B1642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</w:tr>
      <w:tr w:rsidR="004E7F77" w:rsidRPr="007830AB" w:rsidTr="00075918">
        <w:tc>
          <w:tcPr>
            <w:tcW w:w="486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14261" w:type="dxa"/>
            <w:gridSpan w:val="8"/>
          </w:tcPr>
          <w:p w:rsidR="004E7F77" w:rsidRPr="007830AB" w:rsidRDefault="004E7F77" w:rsidP="00F30EB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Задача 3. </w:t>
            </w:r>
            <w:r w:rsidR="000A4F98"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эффективной структуры собственности </w:t>
            </w:r>
            <w:r w:rsidR="00443E6F" w:rsidRPr="007830AB">
              <w:rPr>
                <w:rFonts w:ascii="Times New Roman" w:hAnsi="Times New Roman" w:cs="Times New Roman"/>
                <w:sz w:val="26"/>
                <w:szCs w:val="26"/>
              </w:rPr>
              <w:t>Усть-Абаканского муниципального района Республики Хакасия</w:t>
            </w:r>
            <w:r w:rsidR="000A4F98"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и создание условий для увеличения неналоговых платежей.</w:t>
            </w:r>
          </w:p>
        </w:tc>
      </w:tr>
      <w:tr w:rsidR="00993761" w:rsidRPr="007830AB" w:rsidTr="00075918">
        <w:tc>
          <w:tcPr>
            <w:tcW w:w="486" w:type="dxa"/>
          </w:tcPr>
          <w:p w:rsidR="00012560" w:rsidRPr="007830AB" w:rsidRDefault="001F135D" w:rsidP="00FA2B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177" w:type="dxa"/>
          </w:tcPr>
          <w:p w:rsidR="00012560" w:rsidRPr="007830AB" w:rsidRDefault="00012560" w:rsidP="00FA2B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Показатель 3</w:t>
            </w:r>
            <w:r w:rsidR="001F135D" w:rsidRPr="007830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12560" w:rsidRPr="007830AB" w:rsidRDefault="00012560" w:rsidP="0099376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Совокупные поступления в бюджет </w:t>
            </w:r>
            <w:r w:rsidR="0086437F"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</w:t>
            </w:r>
            <w:r w:rsidR="00154828" w:rsidRPr="007830AB">
              <w:rPr>
                <w:rFonts w:ascii="Times New Roman" w:hAnsi="Times New Roman" w:cs="Times New Roman"/>
                <w:sz w:val="26"/>
                <w:szCs w:val="26"/>
              </w:rPr>
              <w:t>Усть-Абаканского муниципального района Республики Хакасия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, полученные от использования муниципального имущества и земельных участков, вовлеченных в хозяйственный оборот</w:t>
            </w:r>
            <w:r w:rsidR="001F135D" w:rsidRPr="007830A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(тыс.руб.)</w:t>
            </w:r>
            <w:r w:rsidR="001F135D" w:rsidRPr="007830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012560" w:rsidRPr="007830AB" w:rsidRDefault="007679C5" w:rsidP="00FA2B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102 534,6</w:t>
            </w:r>
          </w:p>
          <w:p w:rsidR="00012560" w:rsidRPr="007830AB" w:rsidRDefault="00012560" w:rsidP="00FA2B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012560" w:rsidRPr="007830AB" w:rsidRDefault="00012560" w:rsidP="00FA2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139F4" w:rsidRPr="007830A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 000,0 </w:t>
            </w:r>
          </w:p>
        </w:tc>
        <w:tc>
          <w:tcPr>
            <w:tcW w:w="1136" w:type="dxa"/>
          </w:tcPr>
          <w:p w:rsidR="00012560" w:rsidRPr="007830AB" w:rsidRDefault="00012560" w:rsidP="00FA2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139F4" w:rsidRPr="007830A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 000,0 </w:t>
            </w:r>
          </w:p>
        </w:tc>
        <w:tc>
          <w:tcPr>
            <w:tcW w:w="1134" w:type="dxa"/>
          </w:tcPr>
          <w:p w:rsidR="00012560" w:rsidRPr="007830AB" w:rsidRDefault="00FE76F8" w:rsidP="00FA2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79 682,6</w:t>
            </w:r>
          </w:p>
        </w:tc>
        <w:tc>
          <w:tcPr>
            <w:tcW w:w="1134" w:type="dxa"/>
          </w:tcPr>
          <w:p w:rsidR="00012560" w:rsidRPr="007830AB" w:rsidRDefault="00012560" w:rsidP="00FA2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139F4" w:rsidRPr="007830A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 000,0 </w:t>
            </w:r>
          </w:p>
        </w:tc>
        <w:tc>
          <w:tcPr>
            <w:tcW w:w="1134" w:type="dxa"/>
          </w:tcPr>
          <w:p w:rsidR="00012560" w:rsidRPr="007830AB" w:rsidRDefault="006139F4" w:rsidP="00FA2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  <w:r w:rsidR="00012560" w:rsidRPr="007830AB">
              <w:rPr>
                <w:rFonts w:ascii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134" w:type="dxa"/>
          </w:tcPr>
          <w:p w:rsidR="00012560" w:rsidRPr="007830AB" w:rsidRDefault="00012560" w:rsidP="00FA2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71 000,0</w:t>
            </w:r>
          </w:p>
        </w:tc>
      </w:tr>
      <w:tr w:rsidR="004E7F77" w:rsidRPr="007830AB" w:rsidTr="00075918">
        <w:tc>
          <w:tcPr>
            <w:tcW w:w="486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261" w:type="dxa"/>
            <w:gridSpan w:val="8"/>
          </w:tcPr>
          <w:p w:rsidR="004E7F77" w:rsidRPr="007830AB" w:rsidRDefault="004E7F77" w:rsidP="000A4F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Задача 4. </w:t>
            </w:r>
            <w:r w:rsidR="00993761" w:rsidRPr="007830AB">
              <w:rPr>
                <w:rFonts w:ascii="Times New Roman" w:hAnsi="Times New Roman" w:cs="Times New Roman"/>
                <w:sz w:val="26"/>
                <w:szCs w:val="26"/>
              </w:rPr>
              <w:t>Формирование, постановка на государственный кадастровый учет земельных участков, выкуп в муниципальную собственность земельных участков сельскохозяйственного назначения в соответствии с имеющимся преимущественным правом, для дальнейшего вовлечения указанных участков в хозяйственный оборот, а также постановка на кадастровый учет земельных участков под автомобильными дорогами.</w:t>
            </w:r>
          </w:p>
        </w:tc>
      </w:tr>
      <w:tr w:rsidR="00012560" w:rsidRPr="007830AB" w:rsidTr="00075918">
        <w:tc>
          <w:tcPr>
            <w:tcW w:w="486" w:type="dxa"/>
          </w:tcPr>
          <w:p w:rsidR="00012560" w:rsidRPr="007830AB" w:rsidRDefault="001F135D" w:rsidP="00FA2B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177" w:type="dxa"/>
          </w:tcPr>
          <w:p w:rsidR="00012560" w:rsidRPr="007830AB" w:rsidRDefault="00012560" w:rsidP="00FA2B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Показатель 4</w:t>
            </w:r>
            <w:r w:rsidR="001F135D" w:rsidRPr="007830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12560" w:rsidRPr="007830AB" w:rsidRDefault="0086437F" w:rsidP="008643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8F463A" w:rsidRPr="007830AB">
              <w:rPr>
                <w:rFonts w:ascii="Times New Roman" w:hAnsi="Times New Roman" w:cs="Times New Roman"/>
                <w:sz w:val="26"/>
                <w:szCs w:val="26"/>
              </w:rPr>
              <w:t>оличеств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F463A"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земельных участков</w:t>
            </w:r>
            <w:r w:rsidR="00012560" w:rsidRPr="007830AB">
              <w:rPr>
                <w:rFonts w:ascii="Times New Roman" w:hAnsi="Times New Roman" w:cs="Times New Roman"/>
                <w:sz w:val="26"/>
                <w:szCs w:val="26"/>
              </w:rPr>
              <w:t>, вов</w:t>
            </w:r>
            <w:r w:rsidR="001F135D" w:rsidRPr="007830AB">
              <w:rPr>
                <w:rFonts w:ascii="Times New Roman" w:hAnsi="Times New Roman" w:cs="Times New Roman"/>
                <w:sz w:val="26"/>
                <w:szCs w:val="26"/>
              </w:rPr>
              <w:t>лекаемых в хозяйственный оборот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F135D"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12560" w:rsidRPr="007830AB">
              <w:rPr>
                <w:rFonts w:ascii="Times New Roman" w:hAnsi="Times New Roman" w:cs="Times New Roman"/>
                <w:sz w:val="26"/>
                <w:szCs w:val="26"/>
              </w:rPr>
              <w:t>(шт.)</w:t>
            </w:r>
            <w:r w:rsidR="001F135D" w:rsidRPr="007830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012560" w:rsidRPr="007830AB" w:rsidRDefault="007679C5" w:rsidP="00FA2B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</w:p>
        </w:tc>
        <w:tc>
          <w:tcPr>
            <w:tcW w:w="1134" w:type="dxa"/>
          </w:tcPr>
          <w:p w:rsidR="00012560" w:rsidRPr="007830AB" w:rsidRDefault="00FE76F8" w:rsidP="00864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36" w:type="dxa"/>
          </w:tcPr>
          <w:p w:rsidR="00012560" w:rsidRPr="007830AB" w:rsidRDefault="00FE76F8" w:rsidP="00864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134" w:type="dxa"/>
          </w:tcPr>
          <w:p w:rsidR="00012560" w:rsidRPr="007830AB" w:rsidRDefault="00FE76F8" w:rsidP="00864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:rsidR="00012560" w:rsidRPr="007830AB" w:rsidRDefault="00012560" w:rsidP="00864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6437F" w:rsidRPr="007830A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012560" w:rsidRPr="007830AB" w:rsidRDefault="00012560" w:rsidP="00864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6437F" w:rsidRPr="007830A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012560" w:rsidRPr="007830AB" w:rsidRDefault="00012560" w:rsidP="008643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6437F" w:rsidRPr="007830A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4E7F77" w:rsidRPr="007830AB" w:rsidTr="00075918">
        <w:trPr>
          <w:trHeight w:val="1203"/>
        </w:trPr>
        <w:tc>
          <w:tcPr>
            <w:tcW w:w="486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177" w:type="dxa"/>
          </w:tcPr>
          <w:p w:rsidR="004E7F77" w:rsidRPr="007830AB" w:rsidRDefault="004E7F77" w:rsidP="00282CE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Показатель 5</w:t>
            </w:r>
            <w:r w:rsidR="00993761" w:rsidRPr="007830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E7F77" w:rsidRPr="007830AB" w:rsidRDefault="008F463A" w:rsidP="00FA2B4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приведенных в соответствие и утвержденных решением Совета депутатов </w:t>
            </w:r>
            <w:r w:rsidR="006B6186"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  <w:r w:rsidR="00154828" w:rsidRPr="007830AB">
              <w:rPr>
                <w:rFonts w:ascii="Times New Roman" w:hAnsi="Times New Roman" w:cs="Times New Roman"/>
                <w:sz w:val="26"/>
                <w:szCs w:val="26"/>
              </w:rPr>
              <w:t>Усть-Абаканского муниципального района Республики Хакасия</w:t>
            </w: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документов территориального планирования сельсоветов </w:t>
            </w:r>
            <w:r w:rsidR="004E7F77" w:rsidRPr="007830AB">
              <w:rPr>
                <w:rFonts w:ascii="Times New Roman" w:hAnsi="Times New Roman" w:cs="Times New Roman"/>
                <w:sz w:val="26"/>
                <w:szCs w:val="26"/>
              </w:rPr>
              <w:t>(шт.)</w:t>
            </w:r>
            <w:r w:rsidR="00993761" w:rsidRPr="007830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4E7F77" w:rsidRPr="007830AB" w:rsidRDefault="007679C5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6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4E7F77" w:rsidRPr="007830AB" w:rsidRDefault="004E7F77" w:rsidP="00282C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0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4E7F77" w:rsidRPr="007830AB" w:rsidRDefault="004E7F77" w:rsidP="00154828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F30EB8" w:rsidRPr="007830AB" w:rsidRDefault="00F30EB8" w:rsidP="00282C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</w:p>
    <w:p w:rsidR="00F30EB8" w:rsidRPr="007830AB" w:rsidRDefault="00F30EB8" w:rsidP="00282C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</w:p>
    <w:p w:rsidR="00282CE9" w:rsidRPr="007830AB" w:rsidRDefault="00282CE9" w:rsidP="00282C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:rsidR="00282CE9" w:rsidRPr="007830AB" w:rsidRDefault="00282CE9" w:rsidP="00282C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 xml:space="preserve">к текстовой части </w:t>
      </w:r>
    </w:p>
    <w:p w:rsidR="00282CE9" w:rsidRPr="007830AB" w:rsidRDefault="00282CE9" w:rsidP="00282C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</w:p>
    <w:p w:rsidR="00282CE9" w:rsidRPr="007830AB" w:rsidRDefault="00282CE9" w:rsidP="00282C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7830AB">
        <w:rPr>
          <w:rFonts w:ascii="Times New Roman" w:hAnsi="Times New Roman" w:cs="Times New Roman"/>
          <w:sz w:val="26"/>
          <w:szCs w:val="26"/>
        </w:rPr>
        <w:t>«Развитие муниципального имущества в Усть-Абаканском районе»</w:t>
      </w:r>
    </w:p>
    <w:p w:rsidR="00282CE9" w:rsidRPr="007830AB" w:rsidRDefault="00282CE9" w:rsidP="00282C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</w:p>
    <w:p w:rsidR="000D1DF4" w:rsidRPr="007830AB" w:rsidRDefault="000D1DF4" w:rsidP="00B4016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0168" w:rsidRPr="007830AB" w:rsidRDefault="00B40168" w:rsidP="00B4016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30AB">
        <w:rPr>
          <w:rFonts w:ascii="Times New Roman" w:hAnsi="Times New Roman" w:cs="Times New Roman"/>
          <w:b/>
          <w:sz w:val="26"/>
          <w:szCs w:val="26"/>
        </w:rPr>
        <w:t>РЕСУРСНОЕ ОБЕСПЕЧЕНИЕ</w:t>
      </w:r>
    </w:p>
    <w:p w:rsidR="00282CE9" w:rsidRPr="007830AB" w:rsidRDefault="00B40168" w:rsidP="00B40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30AB">
        <w:rPr>
          <w:rFonts w:ascii="Times New Roman" w:hAnsi="Times New Roman" w:cs="Times New Roman"/>
          <w:b/>
          <w:sz w:val="26"/>
          <w:szCs w:val="26"/>
        </w:rPr>
        <w:t>реализации муниципальной программы</w:t>
      </w:r>
    </w:p>
    <w:p w:rsidR="003073C0" w:rsidRPr="007830AB" w:rsidRDefault="002E6C78" w:rsidP="00A46A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30AB">
        <w:rPr>
          <w:rFonts w:ascii="Times New Roman" w:hAnsi="Times New Roman" w:cs="Times New Roman"/>
          <w:sz w:val="24"/>
          <w:szCs w:val="24"/>
        </w:rPr>
        <w:t xml:space="preserve"> </w:t>
      </w:r>
      <w:r w:rsidR="00282CE9" w:rsidRPr="007830A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7745A" w:rsidRPr="007830AB" w:rsidRDefault="00282CE9" w:rsidP="00A46A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30AB"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5571" w:type="pct"/>
        <w:tblInd w:w="-1168" w:type="dxa"/>
        <w:tblLayout w:type="fixed"/>
        <w:tblLook w:val="04A0"/>
      </w:tblPr>
      <w:tblGrid>
        <w:gridCol w:w="2554"/>
        <w:gridCol w:w="1982"/>
        <w:gridCol w:w="1560"/>
        <w:gridCol w:w="1557"/>
        <w:gridCol w:w="1419"/>
        <w:gridCol w:w="1416"/>
        <w:gridCol w:w="1423"/>
        <w:gridCol w:w="1556"/>
        <w:gridCol w:w="2410"/>
      </w:tblGrid>
      <w:tr w:rsidR="00952771" w:rsidRPr="007830AB" w:rsidTr="00952771">
        <w:trPr>
          <w:trHeight w:val="570"/>
        </w:trPr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основных мероприятий, мероприятий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28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771" w:rsidRPr="007830AB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3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Объемы бюджетных ассигнований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Основные направления реализации</w:t>
            </w:r>
          </w:p>
        </w:tc>
      </w:tr>
      <w:tr w:rsidR="00952771" w:rsidRPr="007830AB" w:rsidTr="00952771">
        <w:trPr>
          <w:trHeight w:val="675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771" w:rsidRPr="007830AB" w:rsidTr="00952771">
        <w:trPr>
          <w:trHeight w:val="315"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952771" w:rsidRPr="007830AB" w:rsidTr="00952771">
        <w:trPr>
          <w:trHeight w:val="1260"/>
        </w:trPr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«Развитие муниципального имущества в  Усть-Абаканском районе»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муниципальной программе,                                                             в том числе: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28 487 172,58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30 823 908,79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28 649 179,83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29 203 387,63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27 382 071,83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B33E14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27 078 071</w:t>
            </w:r>
            <w:r w:rsidR="00952771" w:rsidRPr="00952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,83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52771" w:rsidRPr="007830AB" w:rsidTr="00952771">
        <w:trPr>
          <w:trHeight w:val="315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151 525,06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277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52771" w:rsidRPr="007830AB" w:rsidTr="00952771">
        <w:trPr>
          <w:trHeight w:val="645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Республиканский бюджет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2 320 743,00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1 883 128,51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1 159 784,90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277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52771" w:rsidRPr="007830AB" w:rsidTr="00952771">
        <w:trPr>
          <w:trHeight w:val="360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Районный </w:t>
            </w:r>
          </w:p>
        </w:tc>
        <w:tc>
          <w:tcPr>
            <w:tcW w:w="49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26 166 429,58</w:t>
            </w:r>
          </w:p>
        </w:tc>
        <w:tc>
          <w:tcPr>
            <w:tcW w:w="490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28 789 255,22</w:t>
            </w:r>
          </w:p>
        </w:tc>
        <w:tc>
          <w:tcPr>
            <w:tcW w:w="447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27 489 394,93</w:t>
            </w:r>
          </w:p>
        </w:tc>
        <w:tc>
          <w:tcPr>
            <w:tcW w:w="446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29 203 387,63</w:t>
            </w:r>
          </w:p>
        </w:tc>
        <w:tc>
          <w:tcPr>
            <w:tcW w:w="448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27 382 071,83</w:t>
            </w:r>
          </w:p>
        </w:tc>
        <w:tc>
          <w:tcPr>
            <w:tcW w:w="490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B33E14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27 078 071</w:t>
            </w:r>
            <w:r w:rsidR="00952771"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,83</w:t>
            </w:r>
          </w:p>
        </w:tc>
        <w:tc>
          <w:tcPr>
            <w:tcW w:w="7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277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52771" w:rsidRPr="007830AB" w:rsidTr="00952771">
        <w:trPr>
          <w:trHeight w:val="315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</w:p>
        </w:tc>
        <w:tc>
          <w:tcPr>
            <w:tcW w:w="49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952771" w:rsidRPr="007830AB" w:rsidTr="00952771">
        <w:trPr>
          <w:trHeight w:val="2595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имущественных и земельных отношений Администрации Усть-Абаканского муниципального района Республики Хакасия (далее - УИЗО)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28 487 172,58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30 823 908,79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28 649 179,83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29 203 387,63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27 382 071,83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B33E14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27 078 071</w:t>
            </w:r>
            <w:r w:rsidR="00952771"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,83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277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52771" w:rsidRPr="007830AB" w:rsidTr="00952771">
        <w:trPr>
          <w:trHeight w:val="765"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Основное мероприятие 1. Обеспечение развития отрасли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23 324 290,94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27 286 420,20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26 275 912,82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26 827 987,63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25 139 671,83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25 139 671,83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277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52771" w:rsidRPr="007830AB" w:rsidTr="00952771">
        <w:trPr>
          <w:trHeight w:val="630"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1.1. Органы местного самоуправления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УИЗО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23 324 290,94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27 134 895,14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УИЗО</w:t>
            </w:r>
          </w:p>
        </w:tc>
      </w:tr>
      <w:tr w:rsidR="00952771" w:rsidRPr="007830AB" w:rsidTr="00952771">
        <w:trPr>
          <w:trHeight w:val="2580"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 Поощрение соответствующих муниципальных упр</w:t>
            </w:r>
            <w:r w:rsidR="00D1012F" w:rsidRPr="00783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авленческих команд, способствовав</w:t>
            </w: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ших достижению Республикой Хакасии значений (уровней) показателей для оценки эффективности деятельности высших должностных лиц субъектов Российской Федерации источником финансового обеспечения которых является дотация (грант) из федерального бюджета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УИЗО (федеральный бюджет)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151 525,06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Поощрение соответствующих муниципальных управленческих команд, способствова</w:t>
            </w:r>
            <w:r w:rsidR="00D1012F" w:rsidRPr="00783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ших достижению Республикой Хакасии значений (уровней) показателей для оценки эффективности деятельности высших должностных лиц субъектов Российской Федерации</w:t>
            </w:r>
          </w:p>
        </w:tc>
      </w:tr>
      <w:tr w:rsidR="00952771" w:rsidRPr="007830AB" w:rsidTr="00952771">
        <w:trPr>
          <w:trHeight w:val="630"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1.3. Органы местного самоуправления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УИЗО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26 275 912,82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26 827 987,63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25 139 671,83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25 139 671,83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УИЗО</w:t>
            </w:r>
          </w:p>
        </w:tc>
      </w:tr>
      <w:tr w:rsidR="00952771" w:rsidRPr="007830AB" w:rsidTr="00952771">
        <w:trPr>
          <w:trHeight w:val="630"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1.3.1. Фонд оплаты труда </w:t>
            </w: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муниципальных служащих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УИЗО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13 913 314,64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13 565 029,63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12 434 610,50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12 434 610,50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Фонд оплаты труда муниципальных </w:t>
            </w: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служащих</w:t>
            </w:r>
          </w:p>
        </w:tc>
      </w:tr>
      <w:tr w:rsidR="00952771" w:rsidRPr="007830AB" w:rsidTr="00952771">
        <w:trPr>
          <w:trHeight w:val="1260"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1.3.2. Фонд оплаты труда работников, замещающих должности, не являющиеся должностями  муниципальной службы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УИЗО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5 658 056,08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6 694 760,00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6 136 863,33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6 136 863,33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оплаты труда работников администрации Усть-Абаканского района и ее структурных подразделений, замещающих должности, не являющиеся должностями муниципальной службы</w:t>
            </w:r>
          </w:p>
        </w:tc>
      </w:tr>
      <w:tr w:rsidR="00952771" w:rsidRPr="007830AB" w:rsidTr="00952771">
        <w:trPr>
          <w:trHeight w:val="630"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1.3.3. Содержание органов местного самоуправления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УИЗО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6 704 542,10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6 568 198,00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6 568 198,00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6 568 198,00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органов местного самоуправления</w:t>
            </w:r>
          </w:p>
        </w:tc>
      </w:tr>
      <w:tr w:rsidR="00952771" w:rsidRPr="007830AB" w:rsidTr="00952771">
        <w:trPr>
          <w:trHeight w:val="2895"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Основное мероприятие 2.  Повышение эффективности управления объектами  недвижимого имущества муниципальной собственности Усть-Абаканского района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141 500,00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144 000,00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7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работ по изготовлению технических паспортов, технических планов, постановка на государственный кадастровый учет объектов недвижимого муниципального имущества и его содержания.                                                                                                                                          Выполнение работ по оценке рыночной стоимости арендной платы на объекты, подлежащие передаче в аренду, в том числе по оценке объектов, подлежащих реализации, а также содержания имущества.</w:t>
            </w:r>
          </w:p>
        </w:tc>
      </w:tr>
      <w:tr w:rsidR="00952771" w:rsidRPr="007830AB" w:rsidTr="00952771">
        <w:trPr>
          <w:trHeight w:val="1440"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2.1. 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УИЗО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141 500,00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144 000,00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7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771" w:rsidRPr="007830AB" w:rsidTr="00952771">
        <w:trPr>
          <w:trHeight w:val="1260"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Основное мероприятие 3. Эффективное использование и вовлечение в хозяйственный оборот земельных участков и иной недвижимости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4 725 000,00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2 537 091,61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1 751 257,72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1 222 000,00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1 089 000,00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785 000,00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277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52771" w:rsidRPr="007830AB" w:rsidTr="00952771">
        <w:trPr>
          <w:trHeight w:val="1215"/>
        </w:trPr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3.1. Мероприятия в сфере развития земельно-имущественных отношений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УИЗО 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595 000,00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480 294,00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491 472,82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работ по оформлению и постановке на кадастровый учет земельных участков, в том числе под объектами дорожной инфраструктуры, тепловыми сетями, сетями водоснабжения и водоотведения</w:t>
            </w:r>
          </w:p>
        </w:tc>
      </w:tr>
      <w:tr w:rsidR="00952771" w:rsidRPr="007830AB" w:rsidTr="00952771">
        <w:trPr>
          <w:trHeight w:val="315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включающие в себя:</w:t>
            </w:r>
          </w:p>
        </w:tc>
      </w:tr>
      <w:tr w:rsidR="00952771" w:rsidRPr="007830AB" w:rsidTr="00952771">
        <w:trPr>
          <w:trHeight w:val="630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проведение кадастровых работ в отношении земельных участков;</w:t>
            </w:r>
          </w:p>
        </w:tc>
      </w:tr>
      <w:tr w:rsidR="00952771" w:rsidRPr="007830AB" w:rsidTr="00952771">
        <w:trPr>
          <w:trHeight w:val="630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постановка земельных участков на государственный кадастровый учет;</w:t>
            </w:r>
          </w:p>
        </w:tc>
      </w:tr>
      <w:tr w:rsidR="00952771" w:rsidRPr="007830AB" w:rsidTr="00952771">
        <w:trPr>
          <w:trHeight w:val="960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государственная регистрация права муниципальной собственности на земельные участки, а также на земельные участки под объектами недвижимости.</w:t>
            </w:r>
          </w:p>
        </w:tc>
      </w:tr>
      <w:tr w:rsidR="00952771" w:rsidRPr="007830AB" w:rsidTr="00952771">
        <w:trPr>
          <w:trHeight w:val="645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Преимущественное право выкупа земельных участков сельскохозяйственного </w:t>
            </w: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назначения.</w:t>
            </w:r>
          </w:p>
        </w:tc>
      </w:tr>
      <w:tr w:rsidR="00952771" w:rsidRPr="007830AB" w:rsidTr="00952771">
        <w:trPr>
          <w:trHeight w:val="630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государственной историко-культурной экспертизы земельных участков.</w:t>
            </w:r>
          </w:p>
        </w:tc>
      </w:tr>
      <w:tr w:rsidR="00952771" w:rsidRPr="007830AB" w:rsidTr="00952771">
        <w:trPr>
          <w:trHeight w:val="3855"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3.2. Мероприятия по подготовке градостроительной документации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УИЗО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1 761 894,00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589 000,00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285 000,00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работ по разработке градостроительной документации земельных участков и проведение кадастровых работ на реализацию положений законов Республики Хакасия от 05.05.2003 № 25 «О предоставлении в собственность граждан и юридических лиц земельных участков, находящихся в государственной и муниципальной собственности», от 08.11.2011                                                                                                                                    № 88-ЗРХ «О бесплатном предоставлении в собственность граждан, имеющих трех и более детей, земельных участков на территории Республика Хакасия». Выполнение работ по подготовке проекта схемы территориального планирования Усть-Абаканского района РХ</w:t>
            </w:r>
          </w:p>
        </w:tc>
      </w:tr>
      <w:tr w:rsidR="00952771" w:rsidRPr="007830AB" w:rsidTr="00952771">
        <w:trPr>
          <w:trHeight w:val="915"/>
        </w:trPr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Мероприятие 3.3. Подготовка документов территориального планирования и правил землепользования и застройки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УИЗО (республиканский бюджет)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2 320 743,00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1 883 128,51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1 159 784,90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Приведение в соответствие документов территориального планирования и правил землепользования и застройки и внесение в них изменений, а именно:</w:t>
            </w:r>
          </w:p>
        </w:tc>
      </w:tr>
      <w:tr w:rsidR="00952771" w:rsidRPr="007830AB" w:rsidTr="00952771">
        <w:trPr>
          <w:trHeight w:val="630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подготовка (внесение изменений) в генеральные планы поселений</w:t>
            </w:r>
          </w:p>
        </w:tc>
      </w:tr>
      <w:tr w:rsidR="00952771" w:rsidRPr="007830AB" w:rsidTr="00952771">
        <w:trPr>
          <w:trHeight w:val="315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Усть-Абаканского района;</w:t>
            </w:r>
          </w:p>
        </w:tc>
      </w:tr>
      <w:tr w:rsidR="00952771" w:rsidRPr="007830AB" w:rsidTr="00952771">
        <w:trPr>
          <w:trHeight w:val="630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подготовка (внесение изменений) в правила землепользования и застройки поселений</w:t>
            </w:r>
          </w:p>
        </w:tc>
      </w:tr>
      <w:tr w:rsidR="00952771" w:rsidRPr="007830AB" w:rsidTr="00952771">
        <w:trPr>
          <w:trHeight w:val="315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Усть-Абаканского района;</w:t>
            </w:r>
          </w:p>
        </w:tc>
      </w:tr>
      <w:tr w:rsidR="00952771" w:rsidRPr="007830AB" w:rsidTr="00952771">
        <w:trPr>
          <w:trHeight w:val="315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устранение реестровых ошибок;</w:t>
            </w:r>
          </w:p>
        </w:tc>
      </w:tr>
      <w:tr w:rsidR="00952771" w:rsidRPr="007830AB" w:rsidTr="00952771">
        <w:trPr>
          <w:trHeight w:val="1260"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3.4. Подготовка документов территориального планирования и правил землепользования и застройки (софинансирование)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УИЗО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47 363,00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23 669,10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описание границ территориальных зон, постановка их на кадастровый учет в ЕГРН.</w:t>
            </w:r>
          </w:p>
        </w:tc>
      </w:tr>
      <w:tr w:rsidR="00952771" w:rsidRPr="007830AB" w:rsidTr="00952771">
        <w:trPr>
          <w:trHeight w:val="945"/>
        </w:trPr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Основное мероприятие 4. Обеспечение обслуживания, содержания и распоряжения муниципальной собственностью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296 381,64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856 396,98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612 009,29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1 023 400,00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1 023 400,00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1 023 400,00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полномочий собственника, в том  числе, выполнение обязательств в отношении расходов по содержанию муниципального имущества.</w:t>
            </w:r>
          </w:p>
        </w:tc>
      </w:tr>
      <w:tr w:rsidR="00952771" w:rsidRPr="007830AB" w:rsidTr="00952771">
        <w:trPr>
          <w:trHeight w:val="630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обслуживания, </w:t>
            </w: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содержания и распоряжения муниципальным имуществом.</w:t>
            </w:r>
          </w:p>
        </w:tc>
      </w:tr>
      <w:tr w:rsidR="00952771" w:rsidRPr="00952771" w:rsidTr="00952771">
        <w:trPr>
          <w:trHeight w:val="2205"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Мероприятие 4.1. Обслуживание, содержание и распоряжение муниципальной собственностью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УИЗО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296 381,64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856 396,98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612 009,29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1 023 400,00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1 023 400,00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1 023 400,00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771" w:rsidRPr="00952771" w:rsidRDefault="00952771" w:rsidP="00952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7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повышения эффективности использования недвижимости, находящейся в муниципальной собственности, необходимо содержать и ремонтировать муниципальное имущество, для его поддержания в безаварийном и технически исправном состоянии (коммунальные услуги, работы и услуги по содержанию муниципального имущества).</w:t>
            </w:r>
          </w:p>
        </w:tc>
      </w:tr>
    </w:tbl>
    <w:p w:rsidR="004E7F77" w:rsidRPr="00A46AEB" w:rsidRDefault="004E7F77" w:rsidP="00A46A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4E7F77" w:rsidRPr="00A46AEB" w:rsidSect="00C56FF4">
          <w:pgSz w:w="16838" w:h="11906" w:orient="landscape"/>
          <w:pgMar w:top="1276" w:right="1103" w:bottom="1134" w:left="1701" w:header="708" w:footer="708" w:gutter="0"/>
          <w:cols w:space="708"/>
          <w:docGrid w:linePitch="360"/>
        </w:sectPr>
      </w:pPr>
    </w:p>
    <w:p w:rsidR="00282CE9" w:rsidRPr="00767115" w:rsidRDefault="00282CE9" w:rsidP="00CE4103"/>
    <w:sectPr w:rsidR="00282CE9" w:rsidRPr="00767115" w:rsidSect="00282CE9"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31F" w:rsidRDefault="002B531F" w:rsidP="0052433F">
      <w:pPr>
        <w:spacing w:after="0" w:line="240" w:lineRule="auto"/>
      </w:pPr>
      <w:r>
        <w:separator/>
      </w:r>
    </w:p>
  </w:endnote>
  <w:endnote w:type="continuationSeparator" w:id="1">
    <w:p w:rsidR="002B531F" w:rsidRDefault="002B531F" w:rsidP="00524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31F" w:rsidRDefault="002B531F" w:rsidP="0052433F">
      <w:pPr>
        <w:spacing w:after="0" w:line="240" w:lineRule="auto"/>
      </w:pPr>
      <w:r>
        <w:separator/>
      </w:r>
    </w:p>
  </w:footnote>
  <w:footnote w:type="continuationSeparator" w:id="1">
    <w:p w:rsidR="002B531F" w:rsidRDefault="002B531F" w:rsidP="00524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F0085"/>
    <w:multiLevelType w:val="hybridMultilevel"/>
    <w:tmpl w:val="3D927D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E6E0EC9"/>
    <w:multiLevelType w:val="hybridMultilevel"/>
    <w:tmpl w:val="AFD06D8A"/>
    <w:lvl w:ilvl="0" w:tplc="F03A63A2">
      <w:start w:val="1"/>
      <w:numFmt w:val="decimal"/>
      <w:lvlText w:val="%1."/>
      <w:lvlJc w:val="left"/>
      <w:pPr>
        <w:ind w:left="105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590597F"/>
    <w:multiLevelType w:val="multilevel"/>
    <w:tmpl w:val="060AE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52670D4E"/>
    <w:multiLevelType w:val="multilevel"/>
    <w:tmpl w:val="D1FA18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2F0C"/>
    <w:rsid w:val="000071F7"/>
    <w:rsid w:val="00012560"/>
    <w:rsid w:val="00015311"/>
    <w:rsid w:val="00020BFD"/>
    <w:rsid w:val="00025BDD"/>
    <w:rsid w:val="000355BE"/>
    <w:rsid w:val="0004439B"/>
    <w:rsid w:val="00044625"/>
    <w:rsid w:val="00046C33"/>
    <w:rsid w:val="00065266"/>
    <w:rsid w:val="0007116C"/>
    <w:rsid w:val="00075918"/>
    <w:rsid w:val="00080277"/>
    <w:rsid w:val="000817B0"/>
    <w:rsid w:val="000946D6"/>
    <w:rsid w:val="00095360"/>
    <w:rsid w:val="000A2347"/>
    <w:rsid w:val="000A30D3"/>
    <w:rsid w:val="000A4BC8"/>
    <w:rsid w:val="000A4F98"/>
    <w:rsid w:val="000B670E"/>
    <w:rsid w:val="000C2084"/>
    <w:rsid w:val="000D1DF4"/>
    <w:rsid w:val="000E6B64"/>
    <w:rsid w:val="000E7010"/>
    <w:rsid w:val="000E74A5"/>
    <w:rsid w:val="000F4511"/>
    <w:rsid w:val="000F5DB6"/>
    <w:rsid w:val="00101172"/>
    <w:rsid w:val="001021CA"/>
    <w:rsid w:val="00104369"/>
    <w:rsid w:val="00112FCC"/>
    <w:rsid w:val="00117B29"/>
    <w:rsid w:val="00117ECB"/>
    <w:rsid w:val="00120A05"/>
    <w:rsid w:val="001371FF"/>
    <w:rsid w:val="0014020B"/>
    <w:rsid w:val="001458E7"/>
    <w:rsid w:val="00146B4E"/>
    <w:rsid w:val="00154828"/>
    <w:rsid w:val="00167B21"/>
    <w:rsid w:val="00172066"/>
    <w:rsid w:val="0017284C"/>
    <w:rsid w:val="00174B6E"/>
    <w:rsid w:val="00190704"/>
    <w:rsid w:val="0019191E"/>
    <w:rsid w:val="001A1440"/>
    <w:rsid w:val="001A49DA"/>
    <w:rsid w:val="001A4DF0"/>
    <w:rsid w:val="001B1642"/>
    <w:rsid w:val="001C2BEA"/>
    <w:rsid w:val="001D597E"/>
    <w:rsid w:val="001E17F6"/>
    <w:rsid w:val="001E2E5D"/>
    <w:rsid w:val="001E4C8D"/>
    <w:rsid w:val="001F135D"/>
    <w:rsid w:val="001F470C"/>
    <w:rsid w:val="001F6C79"/>
    <w:rsid w:val="002015D7"/>
    <w:rsid w:val="00204306"/>
    <w:rsid w:val="00220649"/>
    <w:rsid w:val="002209BD"/>
    <w:rsid w:val="00236DC9"/>
    <w:rsid w:val="00237211"/>
    <w:rsid w:val="002401A4"/>
    <w:rsid w:val="00241E88"/>
    <w:rsid w:val="00243298"/>
    <w:rsid w:val="00255E58"/>
    <w:rsid w:val="002562AE"/>
    <w:rsid w:val="002655D1"/>
    <w:rsid w:val="00266429"/>
    <w:rsid w:val="00267C25"/>
    <w:rsid w:val="00273D0D"/>
    <w:rsid w:val="00282CE9"/>
    <w:rsid w:val="00285FC5"/>
    <w:rsid w:val="00287FF0"/>
    <w:rsid w:val="002927A0"/>
    <w:rsid w:val="002A33FB"/>
    <w:rsid w:val="002A50A3"/>
    <w:rsid w:val="002A5A61"/>
    <w:rsid w:val="002B3400"/>
    <w:rsid w:val="002B4728"/>
    <w:rsid w:val="002B531F"/>
    <w:rsid w:val="002C1869"/>
    <w:rsid w:val="002D0FD2"/>
    <w:rsid w:val="002D395C"/>
    <w:rsid w:val="002D64DE"/>
    <w:rsid w:val="002E03A3"/>
    <w:rsid w:val="002E6C78"/>
    <w:rsid w:val="002F1831"/>
    <w:rsid w:val="002F2BCF"/>
    <w:rsid w:val="003009F9"/>
    <w:rsid w:val="00306F4C"/>
    <w:rsid w:val="003073C0"/>
    <w:rsid w:val="00312AAF"/>
    <w:rsid w:val="0032500A"/>
    <w:rsid w:val="0032618F"/>
    <w:rsid w:val="00326D63"/>
    <w:rsid w:val="00326E5A"/>
    <w:rsid w:val="003461E6"/>
    <w:rsid w:val="00352F64"/>
    <w:rsid w:val="003611E3"/>
    <w:rsid w:val="0036463F"/>
    <w:rsid w:val="00372EDC"/>
    <w:rsid w:val="00373FD1"/>
    <w:rsid w:val="0037543D"/>
    <w:rsid w:val="0037745A"/>
    <w:rsid w:val="003810E9"/>
    <w:rsid w:val="0038431C"/>
    <w:rsid w:val="003850C2"/>
    <w:rsid w:val="003A2AAC"/>
    <w:rsid w:val="003C49EC"/>
    <w:rsid w:val="003E58AA"/>
    <w:rsid w:val="003E6A6E"/>
    <w:rsid w:val="003F44BD"/>
    <w:rsid w:val="004007FB"/>
    <w:rsid w:val="00402DDD"/>
    <w:rsid w:val="0040399C"/>
    <w:rsid w:val="00403C51"/>
    <w:rsid w:val="0041178D"/>
    <w:rsid w:val="004364EF"/>
    <w:rsid w:val="00441F4C"/>
    <w:rsid w:val="00443BBF"/>
    <w:rsid w:val="00443E6F"/>
    <w:rsid w:val="004455D0"/>
    <w:rsid w:val="004506CA"/>
    <w:rsid w:val="00455988"/>
    <w:rsid w:val="004579F6"/>
    <w:rsid w:val="0046268B"/>
    <w:rsid w:val="00462B97"/>
    <w:rsid w:val="00463DE4"/>
    <w:rsid w:val="00484CFE"/>
    <w:rsid w:val="004859C8"/>
    <w:rsid w:val="00486621"/>
    <w:rsid w:val="004866B0"/>
    <w:rsid w:val="004970DB"/>
    <w:rsid w:val="004A2BBF"/>
    <w:rsid w:val="004A73F4"/>
    <w:rsid w:val="004B006B"/>
    <w:rsid w:val="004C21AA"/>
    <w:rsid w:val="004D0C2A"/>
    <w:rsid w:val="004D1056"/>
    <w:rsid w:val="004D244D"/>
    <w:rsid w:val="004E505F"/>
    <w:rsid w:val="004E5C71"/>
    <w:rsid w:val="004E7F77"/>
    <w:rsid w:val="004F1AC4"/>
    <w:rsid w:val="004F61F5"/>
    <w:rsid w:val="00505E5C"/>
    <w:rsid w:val="00506045"/>
    <w:rsid w:val="00510B8A"/>
    <w:rsid w:val="00515E09"/>
    <w:rsid w:val="00523F13"/>
    <w:rsid w:val="0052433F"/>
    <w:rsid w:val="0052466A"/>
    <w:rsid w:val="00527A9B"/>
    <w:rsid w:val="005333AB"/>
    <w:rsid w:val="00543788"/>
    <w:rsid w:val="005467DA"/>
    <w:rsid w:val="0054746A"/>
    <w:rsid w:val="00547D27"/>
    <w:rsid w:val="00547EFD"/>
    <w:rsid w:val="00550CCF"/>
    <w:rsid w:val="00564A62"/>
    <w:rsid w:val="005764A8"/>
    <w:rsid w:val="00583584"/>
    <w:rsid w:val="00595DE2"/>
    <w:rsid w:val="005A1FE8"/>
    <w:rsid w:val="005A4CD3"/>
    <w:rsid w:val="005B693C"/>
    <w:rsid w:val="005C2824"/>
    <w:rsid w:val="005C4FD4"/>
    <w:rsid w:val="005C5AC5"/>
    <w:rsid w:val="005E04A8"/>
    <w:rsid w:val="005E04FF"/>
    <w:rsid w:val="005F0CC6"/>
    <w:rsid w:val="005F0D67"/>
    <w:rsid w:val="005F3E11"/>
    <w:rsid w:val="005F778F"/>
    <w:rsid w:val="00601428"/>
    <w:rsid w:val="006135B5"/>
    <w:rsid w:val="006139F4"/>
    <w:rsid w:val="00620D34"/>
    <w:rsid w:val="0062229D"/>
    <w:rsid w:val="00626AB0"/>
    <w:rsid w:val="00632B65"/>
    <w:rsid w:val="00634679"/>
    <w:rsid w:val="00641BFC"/>
    <w:rsid w:val="00645C6A"/>
    <w:rsid w:val="00650DE0"/>
    <w:rsid w:val="00650EC4"/>
    <w:rsid w:val="006614A3"/>
    <w:rsid w:val="00672E72"/>
    <w:rsid w:val="00673318"/>
    <w:rsid w:val="006734AB"/>
    <w:rsid w:val="006769F0"/>
    <w:rsid w:val="00690E68"/>
    <w:rsid w:val="006A1193"/>
    <w:rsid w:val="006B47D3"/>
    <w:rsid w:val="006B6186"/>
    <w:rsid w:val="006C14CA"/>
    <w:rsid w:val="006C21DF"/>
    <w:rsid w:val="006C7FAA"/>
    <w:rsid w:val="006D2325"/>
    <w:rsid w:val="006E2B41"/>
    <w:rsid w:val="006F3DB5"/>
    <w:rsid w:val="006F641F"/>
    <w:rsid w:val="0070736D"/>
    <w:rsid w:val="00715C57"/>
    <w:rsid w:val="007160DE"/>
    <w:rsid w:val="00716511"/>
    <w:rsid w:val="007166D7"/>
    <w:rsid w:val="00717E70"/>
    <w:rsid w:val="00722D49"/>
    <w:rsid w:val="00727BAE"/>
    <w:rsid w:val="007417FD"/>
    <w:rsid w:val="00741B9F"/>
    <w:rsid w:val="0075039C"/>
    <w:rsid w:val="00763660"/>
    <w:rsid w:val="00767115"/>
    <w:rsid w:val="007679C5"/>
    <w:rsid w:val="00781A6A"/>
    <w:rsid w:val="007830AB"/>
    <w:rsid w:val="007838FD"/>
    <w:rsid w:val="00791D2A"/>
    <w:rsid w:val="00791DED"/>
    <w:rsid w:val="00795790"/>
    <w:rsid w:val="00796665"/>
    <w:rsid w:val="007A7237"/>
    <w:rsid w:val="007B3A56"/>
    <w:rsid w:val="007C3C7D"/>
    <w:rsid w:val="007C48C8"/>
    <w:rsid w:val="007C67B3"/>
    <w:rsid w:val="007C6A72"/>
    <w:rsid w:val="007D6527"/>
    <w:rsid w:val="007D7A33"/>
    <w:rsid w:val="007E00A5"/>
    <w:rsid w:val="007E4C1F"/>
    <w:rsid w:val="00801560"/>
    <w:rsid w:val="00803BB1"/>
    <w:rsid w:val="00805338"/>
    <w:rsid w:val="00825F11"/>
    <w:rsid w:val="00831F37"/>
    <w:rsid w:val="008363BD"/>
    <w:rsid w:val="008377EF"/>
    <w:rsid w:val="008432AB"/>
    <w:rsid w:val="00857571"/>
    <w:rsid w:val="00863E28"/>
    <w:rsid w:val="0086437F"/>
    <w:rsid w:val="00871682"/>
    <w:rsid w:val="00894324"/>
    <w:rsid w:val="008A17E1"/>
    <w:rsid w:val="008A1BEF"/>
    <w:rsid w:val="008A1CC2"/>
    <w:rsid w:val="008A39C4"/>
    <w:rsid w:val="008A647D"/>
    <w:rsid w:val="008B2D30"/>
    <w:rsid w:val="008D7456"/>
    <w:rsid w:val="008E4F27"/>
    <w:rsid w:val="008E7E76"/>
    <w:rsid w:val="008F1968"/>
    <w:rsid w:val="008F2E3B"/>
    <w:rsid w:val="008F463A"/>
    <w:rsid w:val="008F65E4"/>
    <w:rsid w:val="008F6C41"/>
    <w:rsid w:val="00901003"/>
    <w:rsid w:val="00903430"/>
    <w:rsid w:val="00913791"/>
    <w:rsid w:val="00922337"/>
    <w:rsid w:val="00923591"/>
    <w:rsid w:val="0093179E"/>
    <w:rsid w:val="0093378A"/>
    <w:rsid w:val="00933D78"/>
    <w:rsid w:val="009361F2"/>
    <w:rsid w:val="00947333"/>
    <w:rsid w:val="00952771"/>
    <w:rsid w:val="00962DAF"/>
    <w:rsid w:val="0098129F"/>
    <w:rsid w:val="0099246F"/>
    <w:rsid w:val="00993761"/>
    <w:rsid w:val="009B1FA2"/>
    <w:rsid w:val="009B53EF"/>
    <w:rsid w:val="009C3446"/>
    <w:rsid w:val="009C3B9F"/>
    <w:rsid w:val="009F0964"/>
    <w:rsid w:val="009F596B"/>
    <w:rsid w:val="00A01267"/>
    <w:rsid w:val="00A03176"/>
    <w:rsid w:val="00A06051"/>
    <w:rsid w:val="00A13706"/>
    <w:rsid w:val="00A15242"/>
    <w:rsid w:val="00A24641"/>
    <w:rsid w:val="00A303E9"/>
    <w:rsid w:val="00A34F84"/>
    <w:rsid w:val="00A3759A"/>
    <w:rsid w:val="00A43930"/>
    <w:rsid w:val="00A46AEB"/>
    <w:rsid w:val="00A615E9"/>
    <w:rsid w:val="00A7292B"/>
    <w:rsid w:val="00A7617A"/>
    <w:rsid w:val="00A80A0B"/>
    <w:rsid w:val="00A83EEA"/>
    <w:rsid w:val="00A9332A"/>
    <w:rsid w:val="00A9476B"/>
    <w:rsid w:val="00A954A2"/>
    <w:rsid w:val="00A960C4"/>
    <w:rsid w:val="00AA1DC9"/>
    <w:rsid w:val="00AA345D"/>
    <w:rsid w:val="00AA50A3"/>
    <w:rsid w:val="00AA7C53"/>
    <w:rsid w:val="00AC49F9"/>
    <w:rsid w:val="00AE666A"/>
    <w:rsid w:val="00AF0E80"/>
    <w:rsid w:val="00B04675"/>
    <w:rsid w:val="00B07E82"/>
    <w:rsid w:val="00B16E22"/>
    <w:rsid w:val="00B17AF4"/>
    <w:rsid w:val="00B33E14"/>
    <w:rsid w:val="00B40168"/>
    <w:rsid w:val="00B434B7"/>
    <w:rsid w:val="00B50C1D"/>
    <w:rsid w:val="00B53482"/>
    <w:rsid w:val="00B53604"/>
    <w:rsid w:val="00B5665A"/>
    <w:rsid w:val="00B610A1"/>
    <w:rsid w:val="00B74856"/>
    <w:rsid w:val="00B8584A"/>
    <w:rsid w:val="00B916CD"/>
    <w:rsid w:val="00B9562D"/>
    <w:rsid w:val="00B974C1"/>
    <w:rsid w:val="00BA2F0C"/>
    <w:rsid w:val="00BB0798"/>
    <w:rsid w:val="00BB23D4"/>
    <w:rsid w:val="00BB650E"/>
    <w:rsid w:val="00BD2E68"/>
    <w:rsid w:val="00BE5A82"/>
    <w:rsid w:val="00BF4615"/>
    <w:rsid w:val="00BF46D6"/>
    <w:rsid w:val="00C05871"/>
    <w:rsid w:val="00C06B93"/>
    <w:rsid w:val="00C13D9D"/>
    <w:rsid w:val="00C15B40"/>
    <w:rsid w:val="00C21A73"/>
    <w:rsid w:val="00C23B74"/>
    <w:rsid w:val="00C322B6"/>
    <w:rsid w:val="00C4316A"/>
    <w:rsid w:val="00C56FF4"/>
    <w:rsid w:val="00C70CAF"/>
    <w:rsid w:val="00C710EC"/>
    <w:rsid w:val="00C755D9"/>
    <w:rsid w:val="00C84647"/>
    <w:rsid w:val="00C9352D"/>
    <w:rsid w:val="00C93F2C"/>
    <w:rsid w:val="00CB48E6"/>
    <w:rsid w:val="00CB6C3E"/>
    <w:rsid w:val="00CC2294"/>
    <w:rsid w:val="00CC7303"/>
    <w:rsid w:val="00CD7E32"/>
    <w:rsid w:val="00CE1EE0"/>
    <w:rsid w:val="00CE4103"/>
    <w:rsid w:val="00CF47BA"/>
    <w:rsid w:val="00D1012F"/>
    <w:rsid w:val="00D111D1"/>
    <w:rsid w:val="00D201D4"/>
    <w:rsid w:val="00D30AC2"/>
    <w:rsid w:val="00D3227A"/>
    <w:rsid w:val="00D32C17"/>
    <w:rsid w:val="00D40A33"/>
    <w:rsid w:val="00D40D6F"/>
    <w:rsid w:val="00D44ADD"/>
    <w:rsid w:val="00D45078"/>
    <w:rsid w:val="00D6089D"/>
    <w:rsid w:val="00D62297"/>
    <w:rsid w:val="00D62EE3"/>
    <w:rsid w:val="00D658C1"/>
    <w:rsid w:val="00D8626D"/>
    <w:rsid w:val="00D94774"/>
    <w:rsid w:val="00D95515"/>
    <w:rsid w:val="00D96E6E"/>
    <w:rsid w:val="00D9747A"/>
    <w:rsid w:val="00DB78BE"/>
    <w:rsid w:val="00DC17F7"/>
    <w:rsid w:val="00DC2F48"/>
    <w:rsid w:val="00DD4FA9"/>
    <w:rsid w:val="00DE34A1"/>
    <w:rsid w:val="00DE3A7F"/>
    <w:rsid w:val="00E04B2C"/>
    <w:rsid w:val="00E06419"/>
    <w:rsid w:val="00E128F6"/>
    <w:rsid w:val="00E13D54"/>
    <w:rsid w:val="00E155AF"/>
    <w:rsid w:val="00E201D8"/>
    <w:rsid w:val="00E25DBB"/>
    <w:rsid w:val="00E26202"/>
    <w:rsid w:val="00E27118"/>
    <w:rsid w:val="00E27B7B"/>
    <w:rsid w:val="00E374D6"/>
    <w:rsid w:val="00E471FB"/>
    <w:rsid w:val="00E50736"/>
    <w:rsid w:val="00E513A5"/>
    <w:rsid w:val="00E54729"/>
    <w:rsid w:val="00E57D89"/>
    <w:rsid w:val="00E60F70"/>
    <w:rsid w:val="00E61441"/>
    <w:rsid w:val="00E61AC8"/>
    <w:rsid w:val="00E61BB4"/>
    <w:rsid w:val="00E62423"/>
    <w:rsid w:val="00E63751"/>
    <w:rsid w:val="00E80B7D"/>
    <w:rsid w:val="00E8616A"/>
    <w:rsid w:val="00E86739"/>
    <w:rsid w:val="00E923A8"/>
    <w:rsid w:val="00E93726"/>
    <w:rsid w:val="00E97F30"/>
    <w:rsid w:val="00EA2A09"/>
    <w:rsid w:val="00EA77F3"/>
    <w:rsid w:val="00EB7745"/>
    <w:rsid w:val="00EB79A0"/>
    <w:rsid w:val="00EF0345"/>
    <w:rsid w:val="00F00906"/>
    <w:rsid w:val="00F0273B"/>
    <w:rsid w:val="00F05694"/>
    <w:rsid w:val="00F07B5F"/>
    <w:rsid w:val="00F13214"/>
    <w:rsid w:val="00F15D4B"/>
    <w:rsid w:val="00F2170F"/>
    <w:rsid w:val="00F21744"/>
    <w:rsid w:val="00F30EB8"/>
    <w:rsid w:val="00F50DBA"/>
    <w:rsid w:val="00F54AF7"/>
    <w:rsid w:val="00F62130"/>
    <w:rsid w:val="00F66159"/>
    <w:rsid w:val="00F85F6C"/>
    <w:rsid w:val="00F96B26"/>
    <w:rsid w:val="00FA2B43"/>
    <w:rsid w:val="00FA33EC"/>
    <w:rsid w:val="00FB6E3C"/>
    <w:rsid w:val="00FB77A5"/>
    <w:rsid w:val="00FC0A97"/>
    <w:rsid w:val="00FC0FC0"/>
    <w:rsid w:val="00FC6314"/>
    <w:rsid w:val="00FD0FDE"/>
    <w:rsid w:val="00FD703A"/>
    <w:rsid w:val="00FE2DD5"/>
    <w:rsid w:val="00FE5193"/>
    <w:rsid w:val="00FE69DF"/>
    <w:rsid w:val="00FE76F8"/>
    <w:rsid w:val="00FF381E"/>
    <w:rsid w:val="00FF3BF0"/>
    <w:rsid w:val="00FF60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A2F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2F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BA2F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BA2F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F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A2F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Placeholder Text"/>
    <w:basedOn w:val="a0"/>
    <w:uiPriority w:val="99"/>
    <w:semiHidden/>
    <w:rsid w:val="00BA2F0C"/>
    <w:rPr>
      <w:color w:val="808080"/>
    </w:rPr>
  </w:style>
  <w:style w:type="paragraph" w:customStyle="1" w:styleId="ConsPlusCell">
    <w:name w:val="ConsPlusCell"/>
    <w:qFormat/>
    <w:rsid w:val="00BA2F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BA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A2F0C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BA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2F0C"/>
    <w:rPr>
      <w:rFonts w:eastAsiaTheme="minorEastAsia"/>
      <w:lang w:eastAsia="ru-RU"/>
    </w:rPr>
  </w:style>
  <w:style w:type="paragraph" w:styleId="aa">
    <w:name w:val="Body Text"/>
    <w:basedOn w:val="a"/>
    <w:link w:val="ab"/>
    <w:rsid w:val="00BA2F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rsid w:val="00BA2F0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B1FA2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9B1FA2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9B1FA2"/>
    <w:pPr>
      <w:spacing w:after="100"/>
      <w:ind w:left="440"/>
    </w:pPr>
  </w:style>
  <w:style w:type="character" w:styleId="ac">
    <w:name w:val="Hyperlink"/>
    <w:basedOn w:val="a0"/>
    <w:uiPriority w:val="99"/>
    <w:unhideWhenUsed/>
    <w:rsid w:val="009B1FA2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E374D6"/>
    <w:pPr>
      <w:ind w:left="720"/>
      <w:contextualSpacing/>
    </w:pPr>
  </w:style>
  <w:style w:type="table" w:styleId="ae">
    <w:name w:val="Table Grid"/>
    <w:basedOn w:val="a1"/>
    <w:uiPriority w:val="59"/>
    <w:rsid w:val="00676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4F8E1D92FB5F9A506723A5CCBEECA9F1E011A68DF16421E6DC0ABC69aEy1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E2D70-E385-4B7F-958D-4F857BF05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4609</Words>
  <Characters>26277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30825</CharactersWithSpaces>
  <SharedDoc>false</SharedDoc>
  <HLinks>
    <vt:vector size="6" baseType="variant">
      <vt:variant>
        <vt:i4>786513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consultantplus://offline/ref=A14F8E1D92FB5F9A506723A5CCBEECA9F1E011A68DF16421E6DC0ABC69aEy1F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111</dc:creator>
  <cp:lastModifiedBy>Point-11</cp:lastModifiedBy>
  <cp:revision>333</cp:revision>
  <cp:lastPrinted>2026-02-11T04:48:00Z</cp:lastPrinted>
  <dcterms:created xsi:type="dcterms:W3CDTF">2022-05-04T04:01:00Z</dcterms:created>
  <dcterms:modified xsi:type="dcterms:W3CDTF">2026-02-18T03:17:00Z</dcterms:modified>
</cp:coreProperties>
</file>